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1D8" w:rsidRDefault="00D911D8" w:rsidP="00D911D8">
      <w:pPr>
        <w:jc w:val="center"/>
        <w:rPr>
          <w:b/>
          <w:szCs w:val="28"/>
        </w:rPr>
      </w:pPr>
      <w:r>
        <w:rPr>
          <w:b/>
          <w:szCs w:val="28"/>
        </w:rPr>
        <w:t>ПОЯСНЮВАЛЬНА ЗАПИСКА</w:t>
      </w:r>
    </w:p>
    <w:p w:rsidR="00D911D8" w:rsidRPr="00B531EE" w:rsidRDefault="00D911D8" w:rsidP="00D911D8">
      <w:pPr>
        <w:jc w:val="center"/>
        <w:rPr>
          <w:b/>
        </w:rPr>
      </w:pPr>
      <w:r>
        <w:rPr>
          <w:b/>
        </w:rPr>
        <w:t>д</w:t>
      </w:r>
      <w:r w:rsidRPr="00B531EE">
        <w:rPr>
          <w:b/>
        </w:rPr>
        <w:t>о</w:t>
      </w:r>
      <w:r>
        <w:rPr>
          <w:b/>
        </w:rPr>
        <w:t xml:space="preserve"> проєкту</w:t>
      </w:r>
      <w:r w:rsidRPr="00B531EE">
        <w:rPr>
          <w:b/>
        </w:rPr>
        <w:t xml:space="preserve"> бюджету Тростянецької міської територіальної громади</w:t>
      </w:r>
    </w:p>
    <w:p w:rsidR="00D911D8" w:rsidRDefault="00D911D8" w:rsidP="00D911D8">
      <w:pPr>
        <w:jc w:val="center"/>
        <w:rPr>
          <w:b/>
        </w:rPr>
      </w:pPr>
      <w:r w:rsidRPr="00B531EE">
        <w:rPr>
          <w:b/>
        </w:rPr>
        <w:t>на 202</w:t>
      </w:r>
      <w:r w:rsidR="004D4D75">
        <w:rPr>
          <w:b/>
        </w:rPr>
        <w:t>5</w:t>
      </w:r>
      <w:r w:rsidRPr="00B531EE">
        <w:rPr>
          <w:b/>
        </w:rPr>
        <w:t xml:space="preserve"> рік</w:t>
      </w:r>
    </w:p>
    <w:p w:rsidR="00D911D8" w:rsidRDefault="00D911D8" w:rsidP="000B1B98">
      <w:pPr>
        <w:ind w:firstLine="720"/>
        <w:jc w:val="both"/>
        <w:rPr>
          <w:bCs/>
          <w:szCs w:val="28"/>
        </w:rPr>
      </w:pPr>
    </w:p>
    <w:p w:rsidR="000B1B98" w:rsidRDefault="000B1B98" w:rsidP="000B1B98">
      <w:pPr>
        <w:ind w:firstLine="720"/>
        <w:jc w:val="both"/>
        <w:rPr>
          <w:szCs w:val="28"/>
        </w:rPr>
      </w:pPr>
      <w:r>
        <w:rPr>
          <w:bCs/>
          <w:szCs w:val="28"/>
        </w:rPr>
        <w:t>Проєкт бюджету Тростянецької міської  територіальної громади на 202</w:t>
      </w:r>
      <w:r w:rsidR="002F261E">
        <w:rPr>
          <w:bCs/>
          <w:szCs w:val="28"/>
        </w:rPr>
        <w:t>5</w:t>
      </w:r>
      <w:r>
        <w:rPr>
          <w:bCs/>
          <w:szCs w:val="28"/>
        </w:rPr>
        <w:t xml:space="preserve"> рік сформовано з урахуванням вимог чинних Податкового і Бюджетного кодексів України та інших законодавчих актів, очікуваних надходжень за 202</w:t>
      </w:r>
      <w:r w:rsidR="002F261E">
        <w:rPr>
          <w:bCs/>
          <w:szCs w:val="28"/>
        </w:rPr>
        <w:t>4</w:t>
      </w:r>
      <w:r>
        <w:rPr>
          <w:bCs/>
          <w:szCs w:val="28"/>
        </w:rPr>
        <w:t xml:space="preserve"> рік, відповідно постанови Кабінету Міністрів України від 11 березня 2022 року № 252 «Деякі питання формування та виконання місцевих бюджетів у період воєнного стану»,</w:t>
      </w:r>
      <w:r>
        <w:rPr>
          <w:szCs w:val="28"/>
        </w:rPr>
        <w:t xml:space="preserve"> </w:t>
      </w:r>
      <w:r>
        <w:rPr>
          <w:bCs/>
          <w:szCs w:val="28"/>
        </w:rPr>
        <w:t>з урахуванням прийнятого</w:t>
      </w:r>
      <w:r w:rsidR="00632559">
        <w:rPr>
          <w:bCs/>
          <w:szCs w:val="28"/>
        </w:rPr>
        <w:t xml:space="preserve"> проєкту</w:t>
      </w:r>
      <w:r>
        <w:rPr>
          <w:bCs/>
          <w:szCs w:val="28"/>
        </w:rPr>
        <w:t xml:space="preserve"> Закону України «Про Державний бюджет України на 202</w:t>
      </w:r>
      <w:r w:rsidR="00632559">
        <w:rPr>
          <w:bCs/>
          <w:szCs w:val="28"/>
        </w:rPr>
        <w:t>5</w:t>
      </w:r>
      <w:r>
        <w:rPr>
          <w:bCs/>
          <w:szCs w:val="28"/>
        </w:rPr>
        <w:t xml:space="preserve"> рік»</w:t>
      </w:r>
      <w:r w:rsidR="00632559">
        <w:rPr>
          <w:bCs/>
          <w:szCs w:val="28"/>
        </w:rPr>
        <w:t>, Бюджетної декларації на 2025-2027 роки, схваленої постановою Кабінету Міністрів України від 28.06.2024 №751</w:t>
      </w:r>
      <w:r>
        <w:rPr>
          <w:bCs/>
          <w:szCs w:val="28"/>
        </w:rPr>
        <w:t xml:space="preserve"> </w:t>
      </w:r>
      <w:r>
        <w:rPr>
          <w:szCs w:val="28"/>
        </w:rPr>
        <w:t>та стратегії розвитку Тростянецької міської  територіальної громади.</w:t>
      </w:r>
    </w:p>
    <w:p w:rsidR="000B1B98" w:rsidRDefault="000B1B98" w:rsidP="000B1B98">
      <w:pPr>
        <w:ind w:firstLine="720"/>
        <w:jc w:val="center"/>
        <w:rPr>
          <w:b/>
          <w:szCs w:val="28"/>
        </w:rPr>
      </w:pPr>
    </w:p>
    <w:p w:rsidR="000B1B98" w:rsidRDefault="000B1B98" w:rsidP="000B1B98">
      <w:pPr>
        <w:tabs>
          <w:tab w:val="left" w:pos="1134"/>
        </w:tabs>
        <w:ind w:left="709"/>
        <w:jc w:val="center"/>
        <w:rPr>
          <w:b/>
          <w:szCs w:val="28"/>
        </w:rPr>
      </w:pPr>
    </w:p>
    <w:p w:rsidR="000B1B98" w:rsidRDefault="000B1B98" w:rsidP="000B1B98">
      <w:pPr>
        <w:tabs>
          <w:tab w:val="left" w:pos="1134"/>
        </w:tabs>
        <w:ind w:left="709"/>
        <w:jc w:val="center"/>
        <w:rPr>
          <w:b/>
          <w:szCs w:val="28"/>
        </w:rPr>
      </w:pPr>
      <w:r>
        <w:rPr>
          <w:b/>
          <w:szCs w:val="28"/>
        </w:rPr>
        <w:t>ДОХОДИ</w:t>
      </w:r>
    </w:p>
    <w:p w:rsidR="000B1B98" w:rsidRDefault="000B1B98" w:rsidP="000B1B98">
      <w:pPr>
        <w:spacing w:before="360" w:after="60" w:line="252" w:lineRule="auto"/>
        <w:ind w:firstLine="709"/>
        <w:jc w:val="both"/>
        <w:rPr>
          <w:szCs w:val="28"/>
        </w:rPr>
      </w:pPr>
      <w:r>
        <w:rPr>
          <w:szCs w:val="28"/>
        </w:rPr>
        <w:t>Показники дохідної частини бюджету Тростянецької МТГ на 202</w:t>
      </w:r>
      <w:r w:rsidR="008E73B8">
        <w:rPr>
          <w:szCs w:val="28"/>
        </w:rPr>
        <w:t>5</w:t>
      </w:r>
      <w:r>
        <w:rPr>
          <w:b/>
          <w:bCs/>
          <w:szCs w:val="28"/>
        </w:rPr>
        <w:t xml:space="preserve"> </w:t>
      </w:r>
      <w:r>
        <w:rPr>
          <w:szCs w:val="28"/>
        </w:rPr>
        <w:t>рік обраховані з урахуванням Закону України «Про Державний бюджет України на 20</w:t>
      </w:r>
      <w:r w:rsidR="00E65D21">
        <w:rPr>
          <w:szCs w:val="28"/>
        </w:rPr>
        <w:t>2</w:t>
      </w:r>
      <w:r w:rsidR="008E73B8">
        <w:rPr>
          <w:szCs w:val="28"/>
        </w:rPr>
        <w:t>5</w:t>
      </w:r>
      <w:r>
        <w:rPr>
          <w:szCs w:val="28"/>
        </w:rPr>
        <w:t xml:space="preserve"> рік»</w:t>
      </w:r>
      <w:r>
        <w:rPr>
          <w:i/>
          <w:szCs w:val="28"/>
          <w:shd w:val="clear" w:color="auto" w:fill="FFFFFF"/>
        </w:rPr>
        <w:t xml:space="preserve">, </w:t>
      </w:r>
      <w:r>
        <w:rPr>
          <w:szCs w:val="28"/>
        </w:rPr>
        <w:t>основних прогнозних макропоказників економічного і соціального розвитку України, які враховують дії правового режиму воєнного стану, та із застосуванням чинних норм бюджетного та податкового законодавства.</w:t>
      </w:r>
    </w:p>
    <w:p w:rsidR="000B1B98" w:rsidRDefault="000B1B98" w:rsidP="000B1B98">
      <w:pPr>
        <w:tabs>
          <w:tab w:val="left" w:pos="567"/>
          <w:tab w:val="left" w:pos="709"/>
        </w:tabs>
        <w:spacing w:before="120" w:after="60" w:line="252" w:lineRule="auto"/>
        <w:ind w:firstLine="709"/>
        <w:jc w:val="both"/>
        <w:rPr>
          <w:szCs w:val="28"/>
        </w:rPr>
      </w:pPr>
      <w:r>
        <w:rPr>
          <w:szCs w:val="28"/>
        </w:rPr>
        <w:t>При прогнозуванні дохідної частини місцевих бюджетів на 202</w:t>
      </w:r>
      <w:r w:rsidR="008E73B8">
        <w:rPr>
          <w:szCs w:val="28"/>
        </w:rPr>
        <w:t>5</w:t>
      </w:r>
      <w:r>
        <w:rPr>
          <w:szCs w:val="28"/>
        </w:rPr>
        <w:t xml:space="preserve"> рік було враховано:</w:t>
      </w:r>
    </w:p>
    <w:p w:rsidR="000B1B98" w:rsidRDefault="000B1B98" w:rsidP="000B1B98">
      <w:pPr>
        <w:pStyle w:val="a5"/>
        <w:numPr>
          <w:ilvl w:val="0"/>
          <w:numId w:val="4"/>
        </w:numPr>
        <w:tabs>
          <w:tab w:val="left" w:pos="426"/>
          <w:tab w:val="left" w:pos="709"/>
        </w:tabs>
        <w:suppressAutoHyphens/>
        <w:ind w:left="0" w:firstLine="709"/>
        <w:jc w:val="both"/>
        <w:rPr>
          <w:rFonts w:eastAsia="Calibri"/>
          <w:sz w:val="22"/>
          <w:lang w:eastAsia="en-US"/>
        </w:rPr>
      </w:pPr>
      <w:r>
        <w:rPr>
          <w:rFonts w:eastAsia="Calibri"/>
          <w:iCs/>
          <w:szCs w:val="28"/>
          <w:lang w:eastAsia="en-US"/>
        </w:rPr>
        <w:t xml:space="preserve">основні прогнозні макроекономічні показники Міністерства економіки України </w:t>
      </w:r>
      <w:r>
        <w:rPr>
          <w:rFonts w:eastAsia="Calibri"/>
          <w:i/>
          <w:iCs/>
          <w:szCs w:val="28"/>
          <w:lang w:eastAsia="en-US"/>
        </w:rPr>
        <w:t>(очікувані за 202</w:t>
      </w:r>
      <w:r w:rsidR="008E73B8">
        <w:rPr>
          <w:rFonts w:eastAsia="Calibri"/>
          <w:i/>
          <w:iCs/>
          <w:szCs w:val="28"/>
          <w:lang w:eastAsia="en-US"/>
        </w:rPr>
        <w:t>4</w:t>
      </w:r>
      <w:r>
        <w:rPr>
          <w:rFonts w:eastAsia="Calibri"/>
          <w:i/>
          <w:iCs/>
          <w:szCs w:val="28"/>
          <w:lang w:eastAsia="en-US"/>
        </w:rPr>
        <w:t xml:space="preserve"> рік та прогнозні на 202</w:t>
      </w:r>
      <w:r w:rsidR="008E73B8">
        <w:rPr>
          <w:rFonts w:eastAsia="Calibri"/>
          <w:i/>
          <w:iCs/>
          <w:szCs w:val="28"/>
          <w:lang w:eastAsia="en-US"/>
        </w:rPr>
        <w:t>5</w:t>
      </w:r>
      <w:r>
        <w:rPr>
          <w:rFonts w:eastAsia="Calibri"/>
          <w:i/>
          <w:iCs/>
          <w:szCs w:val="28"/>
          <w:lang w:eastAsia="en-US"/>
        </w:rPr>
        <w:t xml:space="preserve"> рік)</w:t>
      </w:r>
      <w:r>
        <w:rPr>
          <w:rFonts w:eastAsia="Calibri"/>
          <w:iCs/>
          <w:szCs w:val="28"/>
          <w:lang w:eastAsia="en-US"/>
        </w:rPr>
        <w:t xml:space="preserve"> за помірно – консервативним сценарієм</w:t>
      </w:r>
      <w:r w:rsidR="00E65D21">
        <w:rPr>
          <w:rFonts w:eastAsia="Calibri"/>
          <w:iCs/>
          <w:szCs w:val="28"/>
          <w:lang w:eastAsia="en-US"/>
        </w:rPr>
        <w:t>;</w:t>
      </w:r>
    </w:p>
    <w:p w:rsidR="000B1B98" w:rsidRDefault="000B1B98" w:rsidP="000B1B98">
      <w:pPr>
        <w:tabs>
          <w:tab w:val="left" w:pos="426"/>
        </w:tabs>
        <w:suppressAutoHyphens/>
        <w:ind w:left="426"/>
        <w:jc w:val="both"/>
        <w:rPr>
          <w:sz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23"/>
        <w:gridCol w:w="1141"/>
        <w:gridCol w:w="1374"/>
        <w:gridCol w:w="1822"/>
        <w:gridCol w:w="1379"/>
      </w:tblGrid>
      <w:tr w:rsidR="00F73FF4" w:rsidRPr="008655F8" w:rsidTr="00F73FF4">
        <w:trPr>
          <w:tblHeader/>
          <w:jc w:val="center"/>
        </w:trPr>
        <w:tc>
          <w:tcPr>
            <w:tcW w:w="3923" w:type="dxa"/>
            <w:vMerge w:val="restart"/>
            <w:shd w:val="clear" w:color="auto" w:fill="auto"/>
            <w:vAlign w:val="center"/>
            <w:hideMark/>
          </w:tcPr>
          <w:p w:rsidR="00F73FF4" w:rsidRPr="008655F8" w:rsidRDefault="00F73FF4" w:rsidP="002F3823">
            <w:pPr>
              <w:jc w:val="center"/>
              <w:rPr>
                <w:sz w:val="24"/>
                <w:lang w:eastAsia="uk-UA"/>
              </w:rPr>
            </w:pPr>
            <w:r w:rsidRPr="008655F8">
              <w:rPr>
                <w:sz w:val="24"/>
                <w:lang w:eastAsia="uk-UA"/>
              </w:rPr>
              <w:t>Назва</w:t>
            </w:r>
          </w:p>
        </w:tc>
        <w:tc>
          <w:tcPr>
            <w:tcW w:w="1141" w:type="dxa"/>
            <w:shd w:val="clear" w:color="auto" w:fill="auto"/>
            <w:vAlign w:val="center"/>
            <w:hideMark/>
          </w:tcPr>
          <w:p w:rsidR="00F73FF4" w:rsidRPr="008655F8" w:rsidRDefault="00F73FF4" w:rsidP="002F3823">
            <w:pPr>
              <w:jc w:val="center"/>
              <w:rPr>
                <w:sz w:val="24"/>
                <w:lang w:eastAsia="uk-UA"/>
              </w:rPr>
            </w:pPr>
            <w:r w:rsidRPr="008655F8">
              <w:rPr>
                <w:sz w:val="24"/>
                <w:lang w:eastAsia="uk-UA"/>
              </w:rPr>
              <w:t>2023</w:t>
            </w:r>
          </w:p>
        </w:tc>
        <w:tc>
          <w:tcPr>
            <w:tcW w:w="3196" w:type="dxa"/>
            <w:gridSpan w:val="2"/>
            <w:shd w:val="clear" w:color="auto" w:fill="auto"/>
            <w:vAlign w:val="center"/>
            <w:hideMark/>
          </w:tcPr>
          <w:p w:rsidR="00F73FF4" w:rsidRPr="008655F8" w:rsidRDefault="00F73FF4" w:rsidP="002F3823">
            <w:pPr>
              <w:jc w:val="center"/>
              <w:rPr>
                <w:sz w:val="24"/>
                <w:lang w:eastAsia="uk-UA"/>
              </w:rPr>
            </w:pPr>
            <w:r w:rsidRPr="008655F8">
              <w:rPr>
                <w:sz w:val="24"/>
                <w:lang w:eastAsia="uk-UA"/>
              </w:rPr>
              <w:t>2024</w:t>
            </w:r>
          </w:p>
        </w:tc>
        <w:tc>
          <w:tcPr>
            <w:tcW w:w="0" w:type="auto"/>
            <w:shd w:val="clear" w:color="auto" w:fill="auto"/>
            <w:vAlign w:val="center"/>
          </w:tcPr>
          <w:p w:rsidR="00F73FF4" w:rsidRPr="008655F8" w:rsidRDefault="00F73FF4" w:rsidP="002F3823">
            <w:pPr>
              <w:jc w:val="center"/>
              <w:rPr>
                <w:sz w:val="24"/>
                <w:lang w:eastAsia="uk-UA"/>
              </w:rPr>
            </w:pPr>
            <w:r w:rsidRPr="008655F8">
              <w:rPr>
                <w:sz w:val="24"/>
                <w:lang w:eastAsia="uk-UA"/>
              </w:rPr>
              <w:t>2025</w:t>
            </w:r>
          </w:p>
        </w:tc>
      </w:tr>
      <w:tr w:rsidR="00F73FF4" w:rsidRPr="008655F8" w:rsidTr="00F73FF4">
        <w:trPr>
          <w:tblHeader/>
          <w:jc w:val="center"/>
        </w:trPr>
        <w:tc>
          <w:tcPr>
            <w:tcW w:w="3923" w:type="dxa"/>
            <w:vMerge/>
            <w:vAlign w:val="center"/>
            <w:hideMark/>
          </w:tcPr>
          <w:p w:rsidR="00F73FF4" w:rsidRPr="008655F8" w:rsidRDefault="00F73FF4" w:rsidP="002F3823">
            <w:pPr>
              <w:jc w:val="center"/>
              <w:rPr>
                <w:sz w:val="24"/>
                <w:lang w:eastAsia="uk-UA"/>
              </w:rPr>
            </w:pPr>
          </w:p>
        </w:tc>
        <w:tc>
          <w:tcPr>
            <w:tcW w:w="1141" w:type="dxa"/>
            <w:shd w:val="clear" w:color="auto" w:fill="auto"/>
            <w:vAlign w:val="center"/>
            <w:hideMark/>
          </w:tcPr>
          <w:p w:rsidR="00F73FF4" w:rsidRPr="008655F8" w:rsidRDefault="00F73FF4" w:rsidP="002F3823">
            <w:pPr>
              <w:jc w:val="center"/>
              <w:rPr>
                <w:sz w:val="24"/>
                <w:lang w:eastAsia="uk-UA"/>
              </w:rPr>
            </w:pPr>
            <w:r w:rsidRPr="008655F8">
              <w:rPr>
                <w:sz w:val="24"/>
                <w:lang w:eastAsia="uk-UA"/>
              </w:rPr>
              <w:t>Звіт</w:t>
            </w:r>
          </w:p>
        </w:tc>
        <w:tc>
          <w:tcPr>
            <w:tcW w:w="1374" w:type="dxa"/>
            <w:shd w:val="clear" w:color="auto" w:fill="auto"/>
            <w:vAlign w:val="center"/>
            <w:hideMark/>
          </w:tcPr>
          <w:p w:rsidR="00F73FF4" w:rsidRPr="008655F8" w:rsidRDefault="00F73FF4" w:rsidP="002F3823">
            <w:pPr>
              <w:jc w:val="center"/>
              <w:rPr>
                <w:bCs/>
                <w:color w:val="000000"/>
                <w:sz w:val="24"/>
              </w:rPr>
            </w:pPr>
            <w:r w:rsidRPr="008655F8">
              <w:rPr>
                <w:bCs/>
                <w:color w:val="000000"/>
                <w:sz w:val="24"/>
              </w:rPr>
              <w:t xml:space="preserve">Постанова </w:t>
            </w:r>
          </w:p>
          <w:p w:rsidR="00F73FF4" w:rsidRPr="008655F8" w:rsidRDefault="00F73FF4" w:rsidP="002F3823">
            <w:pPr>
              <w:jc w:val="center"/>
              <w:rPr>
                <w:bCs/>
                <w:color w:val="000000"/>
                <w:sz w:val="24"/>
              </w:rPr>
            </w:pPr>
            <w:r w:rsidRPr="008655F8">
              <w:rPr>
                <w:bCs/>
                <w:color w:val="000000"/>
                <w:sz w:val="24"/>
              </w:rPr>
              <w:t xml:space="preserve">КМУ від </w:t>
            </w:r>
          </w:p>
          <w:p w:rsidR="00F73FF4" w:rsidRPr="008655F8" w:rsidRDefault="00F73FF4" w:rsidP="002F3823">
            <w:pPr>
              <w:jc w:val="center"/>
              <w:rPr>
                <w:bCs/>
                <w:color w:val="000000"/>
                <w:sz w:val="24"/>
              </w:rPr>
            </w:pPr>
            <w:r w:rsidRPr="008655F8">
              <w:rPr>
                <w:bCs/>
                <w:color w:val="000000"/>
                <w:sz w:val="24"/>
              </w:rPr>
              <w:t xml:space="preserve">15.12.2023 </w:t>
            </w:r>
          </w:p>
          <w:p w:rsidR="00F73FF4" w:rsidRPr="008655F8" w:rsidRDefault="00F73FF4" w:rsidP="002F3823">
            <w:pPr>
              <w:jc w:val="center"/>
              <w:rPr>
                <w:sz w:val="24"/>
                <w:lang w:eastAsia="uk-UA"/>
              </w:rPr>
            </w:pPr>
            <w:r w:rsidRPr="008655F8">
              <w:rPr>
                <w:bCs/>
                <w:color w:val="000000"/>
                <w:sz w:val="24"/>
              </w:rPr>
              <w:t>№ 1315</w:t>
            </w:r>
          </w:p>
        </w:tc>
        <w:tc>
          <w:tcPr>
            <w:tcW w:w="0" w:type="auto"/>
            <w:shd w:val="clear" w:color="auto" w:fill="auto"/>
            <w:vAlign w:val="center"/>
            <w:hideMark/>
          </w:tcPr>
          <w:p w:rsidR="00F73FF4" w:rsidRPr="008655F8" w:rsidRDefault="00F73FF4" w:rsidP="002F3823">
            <w:pPr>
              <w:jc w:val="center"/>
              <w:rPr>
                <w:sz w:val="24"/>
                <w:lang w:eastAsia="uk-UA"/>
              </w:rPr>
            </w:pPr>
            <w:r w:rsidRPr="008655F8">
              <w:rPr>
                <w:sz w:val="24"/>
                <w:lang w:eastAsia="ja-JP"/>
              </w:rPr>
              <w:t>О</w:t>
            </w:r>
            <w:r w:rsidRPr="008655F8">
              <w:rPr>
                <w:sz w:val="24"/>
                <w:lang w:eastAsia="uk-UA"/>
              </w:rPr>
              <w:t xml:space="preserve">чікуване </w:t>
            </w:r>
          </w:p>
          <w:p w:rsidR="00F73FF4" w:rsidRPr="008655F8" w:rsidRDefault="00F73FF4" w:rsidP="002F3823">
            <w:pPr>
              <w:jc w:val="center"/>
              <w:rPr>
                <w:sz w:val="24"/>
                <w:lang w:eastAsia="uk-UA"/>
              </w:rPr>
            </w:pPr>
            <w:r w:rsidRPr="008655F8">
              <w:rPr>
                <w:sz w:val="24"/>
                <w:lang w:eastAsia="uk-UA"/>
              </w:rPr>
              <w:t xml:space="preserve">Мінекономіки </w:t>
            </w:r>
          </w:p>
          <w:p w:rsidR="00F73FF4" w:rsidRPr="008655F8" w:rsidRDefault="00F73FF4" w:rsidP="002F3823">
            <w:pPr>
              <w:jc w:val="center"/>
              <w:rPr>
                <w:sz w:val="24"/>
                <w:lang w:eastAsia="uk-UA"/>
              </w:rPr>
            </w:pPr>
            <w:r w:rsidRPr="008655F8">
              <w:rPr>
                <w:sz w:val="24"/>
                <w:lang w:eastAsia="uk-UA"/>
              </w:rPr>
              <w:t xml:space="preserve">(станом на </w:t>
            </w:r>
          </w:p>
          <w:p w:rsidR="00F73FF4" w:rsidRPr="008655F8" w:rsidRDefault="00F73FF4" w:rsidP="002F3823">
            <w:pPr>
              <w:jc w:val="center"/>
              <w:rPr>
                <w:sz w:val="24"/>
                <w:lang w:eastAsia="uk-UA"/>
              </w:rPr>
            </w:pPr>
            <w:r w:rsidRPr="008655F8">
              <w:rPr>
                <w:sz w:val="24"/>
                <w:lang w:eastAsia="uk-UA"/>
              </w:rPr>
              <w:t>28.06.2024)</w:t>
            </w:r>
          </w:p>
        </w:tc>
        <w:tc>
          <w:tcPr>
            <w:tcW w:w="0" w:type="auto"/>
            <w:shd w:val="clear" w:color="auto" w:fill="auto"/>
            <w:vAlign w:val="center"/>
          </w:tcPr>
          <w:p w:rsidR="00F73FF4" w:rsidRPr="008655F8" w:rsidRDefault="00F73FF4" w:rsidP="002F3823">
            <w:pPr>
              <w:jc w:val="center"/>
              <w:rPr>
                <w:sz w:val="24"/>
                <w:lang w:eastAsia="ja-JP"/>
              </w:rPr>
            </w:pPr>
            <w:r w:rsidRPr="008655F8">
              <w:rPr>
                <w:sz w:val="24"/>
                <w:lang w:eastAsia="ja-JP"/>
              </w:rPr>
              <w:t xml:space="preserve">Постанова </w:t>
            </w:r>
          </w:p>
          <w:p w:rsidR="00F73FF4" w:rsidRPr="008655F8" w:rsidRDefault="00F73FF4" w:rsidP="002F3823">
            <w:pPr>
              <w:jc w:val="center"/>
              <w:rPr>
                <w:sz w:val="24"/>
                <w:lang w:eastAsia="ja-JP"/>
              </w:rPr>
            </w:pPr>
            <w:r w:rsidRPr="008655F8">
              <w:rPr>
                <w:sz w:val="24"/>
                <w:lang w:eastAsia="ja-JP"/>
              </w:rPr>
              <w:t xml:space="preserve">КМУ від </w:t>
            </w:r>
          </w:p>
          <w:p w:rsidR="00F73FF4" w:rsidRPr="008655F8" w:rsidRDefault="00F73FF4" w:rsidP="002F3823">
            <w:pPr>
              <w:jc w:val="center"/>
              <w:rPr>
                <w:sz w:val="24"/>
                <w:lang w:eastAsia="ja-JP"/>
              </w:rPr>
            </w:pPr>
            <w:r w:rsidRPr="008655F8">
              <w:rPr>
                <w:sz w:val="24"/>
                <w:lang w:eastAsia="ja-JP"/>
              </w:rPr>
              <w:t xml:space="preserve">28.06.2024 </w:t>
            </w:r>
          </w:p>
          <w:p w:rsidR="00F73FF4" w:rsidRPr="008655F8" w:rsidRDefault="00F73FF4" w:rsidP="002F3823">
            <w:pPr>
              <w:jc w:val="center"/>
              <w:rPr>
                <w:sz w:val="24"/>
                <w:lang w:eastAsia="uk-UA"/>
              </w:rPr>
            </w:pPr>
            <w:r w:rsidRPr="008655F8">
              <w:rPr>
                <w:sz w:val="24"/>
                <w:lang w:eastAsia="ja-JP"/>
              </w:rPr>
              <w:t>№ 780</w:t>
            </w:r>
            <w:r w:rsidRPr="008655F8">
              <w:rPr>
                <w:sz w:val="24"/>
                <w:lang w:eastAsia="uk-UA"/>
              </w:rPr>
              <w:t xml:space="preserve"> </w:t>
            </w:r>
          </w:p>
        </w:tc>
      </w:tr>
      <w:tr w:rsidR="00F73FF4" w:rsidRPr="008655F8" w:rsidTr="00F73FF4">
        <w:trPr>
          <w:jc w:val="center"/>
        </w:trPr>
        <w:tc>
          <w:tcPr>
            <w:tcW w:w="3923" w:type="dxa"/>
            <w:shd w:val="clear" w:color="auto" w:fill="auto"/>
            <w:hideMark/>
          </w:tcPr>
          <w:p w:rsidR="00F73FF4" w:rsidRPr="008655F8" w:rsidRDefault="00F73FF4" w:rsidP="002F3823">
            <w:pPr>
              <w:rPr>
                <w:b/>
                <w:bCs/>
                <w:sz w:val="24"/>
                <w:lang w:eastAsia="uk-UA"/>
              </w:rPr>
            </w:pPr>
            <w:r w:rsidRPr="008655F8">
              <w:rPr>
                <w:b/>
                <w:bCs/>
                <w:sz w:val="24"/>
                <w:lang w:eastAsia="uk-UA"/>
              </w:rPr>
              <w:t>Валовий внутрішній продукт:</w:t>
            </w:r>
          </w:p>
        </w:tc>
        <w:tc>
          <w:tcPr>
            <w:tcW w:w="1141" w:type="dxa"/>
            <w:shd w:val="clear" w:color="auto" w:fill="auto"/>
            <w:vAlign w:val="bottom"/>
            <w:hideMark/>
          </w:tcPr>
          <w:p w:rsidR="00F73FF4" w:rsidRPr="008655F8" w:rsidRDefault="00F73FF4" w:rsidP="002F3823">
            <w:pPr>
              <w:jc w:val="right"/>
              <w:rPr>
                <w:sz w:val="24"/>
                <w:lang w:eastAsia="uk-UA"/>
              </w:rPr>
            </w:pPr>
          </w:p>
        </w:tc>
        <w:tc>
          <w:tcPr>
            <w:tcW w:w="1374" w:type="dxa"/>
            <w:shd w:val="clear" w:color="auto" w:fill="auto"/>
            <w:vAlign w:val="bottom"/>
            <w:hideMark/>
          </w:tcPr>
          <w:p w:rsidR="00F73FF4" w:rsidRPr="008655F8" w:rsidRDefault="00F73FF4" w:rsidP="002F3823">
            <w:pPr>
              <w:jc w:val="right"/>
              <w:rPr>
                <w:sz w:val="24"/>
                <w:lang w:eastAsia="uk-UA"/>
              </w:rPr>
            </w:pPr>
          </w:p>
        </w:tc>
        <w:tc>
          <w:tcPr>
            <w:tcW w:w="0" w:type="auto"/>
            <w:shd w:val="clear" w:color="auto" w:fill="auto"/>
            <w:vAlign w:val="bottom"/>
            <w:hideMark/>
          </w:tcPr>
          <w:p w:rsidR="00F73FF4" w:rsidRPr="008655F8" w:rsidRDefault="00F73FF4" w:rsidP="002F3823">
            <w:pPr>
              <w:jc w:val="right"/>
              <w:rPr>
                <w:sz w:val="24"/>
                <w:lang w:eastAsia="uk-UA"/>
              </w:rPr>
            </w:pPr>
          </w:p>
        </w:tc>
        <w:tc>
          <w:tcPr>
            <w:tcW w:w="0" w:type="auto"/>
            <w:shd w:val="clear" w:color="auto" w:fill="auto"/>
            <w:vAlign w:val="bottom"/>
          </w:tcPr>
          <w:p w:rsidR="00F73FF4" w:rsidRPr="008655F8" w:rsidRDefault="00F73FF4" w:rsidP="002F3823">
            <w:pPr>
              <w:jc w:val="right"/>
              <w:rPr>
                <w:sz w:val="24"/>
                <w:lang w:eastAsia="uk-UA"/>
              </w:rPr>
            </w:pPr>
          </w:p>
        </w:tc>
      </w:tr>
      <w:tr w:rsidR="00F73FF4" w:rsidRPr="008655F8" w:rsidTr="00F73FF4">
        <w:trPr>
          <w:jc w:val="center"/>
        </w:trPr>
        <w:tc>
          <w:tcPr>
            <w:tcW w:w="3923" w:type="dxa"/>
            <w:shd w:val="clear" w:color="auto" w:fill="auto"/>
            <w:hideMark/>
          </w:tcPr>
          <w:p w:rsidR="00F73FF4" w:rsidRPr="008655F8" w:rsidRDefault="00F73FF4" w:rsidP="002F3823">
            <w:pPr>
              <w:ind w:left="224"/>
              <w:rPr>
                <w:sz w:val="24"/>
                <w:lang w:eastAsia="uk-UA"/>
              </w:rPr>
            </w:pPr>
            <w:r w:rsidRPr="008655F8">
              <w:rPr>
                <w:sz w:val="24"/>
                <w:lang w:eastAsia="uk-UA"/>
              </w:rPr>
              <w:t>номінальний, млрд грн</w:t>
            </w:r>
          </w:p>
        </w:tc>
        <w:tc>
          <w:tcPr>
            <w:tcW w:w="1141" w:type="dxa"/>
            <w:shd w:val="clear" w:color="auto" w:fill="auto"/>
            <w:vAlign w:val="bottom"/>
            <w:hideMark/>
          </w:tcPr>
          <w:p w:rsidR="00F73FF4" w:rsidRPr="008655F8" w:rsidRDefault="00F73FF4" w:rsidP="002F3823">
            <w:pPr>
              <w:jc w:val="right"/>
              <w:rPr>
                <w:sz w:val="24"/>
                <w:lang w:eastAsia="uk-UA"/>
              </w:rPr>
            </w:pPr>
            <w:r w:rsidRPr="008655F8">
              <w:rPr>
                <w:sz w:val="24"/>
                <w:lang w:eastAsia="uk-UA"/>
              </w:rPr>
              <w:t>6 537,8</w:t>
            </w:r>
          </w:p>
        </w:tc>
        <w:tc>
          <w:tcPr>
            <w:tcW w:w="1374" w:type="dxa"/>
            <w:shd w:val="clear" w:color="auto" w:fill="auto"/>
            <w:vAlign w:val="bottom"/>
          </w:tcPr>
          <w:p w:rsidR="00F73FF4" w:rsidRPr="008655F8" w:rsidRDefault="00F73FF4" w:rsidP="002F3823">
            <w:pPr>
              <w:jc w:val="right"/>
              <w:rPr>
                <w:sz w:val="24"/>
                <w:lang w:eastAsia="uk-UA"/>
              </w:rPr>
            </w:pPr>
            <w:r w:rsidRPr="008655F8">
              <w:rPr>
                <w:sz w:val="24"/>
                <w:lang w:eastAsia="uk-UA"/>
              </w:rPr>
              <w:t>7 643,0</w:t>
            </w:r>
          </w:p>
        </w:tc>
        <w:tc>
          <w:tcPr>
            <w:tcW w:w="0" w:type="auto"/>
            <w:shd w:val="clear" w:color="auto" w:fill="auto"/>
            <w:vAlign w:val="bottom"/>
          </w:tcPr>
          <w:p w:rsidR="00F73FF4" w:rsidRPr="008655F8" w:rsidRDefault="00F73FF4" w:rsidP="002F3823">
            <w:pPr>
              <w:jc w:val="right"/>
              <w:rPr>
                <w:sz w:val="24"/>
                <w:lang w:eastAsia="uk-UA"/>
              </w:rPr>
            </w:pPr>
            <w:r w:rsidRPr="008655F8">
              <w:rPr>
                <w:sz w:val="24"/>
                <w:lang w:eastAsia="uk-UA"/>
              </w:rPr>
              <w:t>7 484,7</w:t>
            </w:r>
          </w:p>
        </w:tc>
        <w:tc>
          <w:tcPr>
            <w:tcW w:w="0" w:type="auto"/>
            <w:shd w:val="clear" w:color="auto" w:fill="auto"/>
            <w:vAlign w:val="bottom"/>
          </w:tcPr>
          <w:p w:rsidR="00F73FF4" w:rsidRPr="008655F8" w:rsidRDefault="00F73FF4" w:rsidP="002F3823">
            <w:pPr>
              <w:jc w:val="right"/>
              <w:rPr>
                <w:sz w:val="24"/>
                <w:lang w:eastAsia="uk-UA"/>
              </w:rPr>
            </w:pPr>
            <w:r w:rsidRPr="008655F8">
              <w:rPr>
                <w:sz w:val="24"/>
                <w:lang w:eastAsia="uk-UA"/>
              </w:rPr>
              <w:t>8 466,3</w:t>
            </w:r>
          </w:p>
        </w:tc>
      </w:tr>
      <w:tr w:rsidR="00F73FF4" w:rsidRPr="007B0774" w:rsidTr="00F73FF4">
        <w:trPr>
          <w:jc w:val="center"/>
        </w:trPr>
        <w:tc>
          <w:tcPr>
            <w:tcW w:w="3923" w:type="dxa"/>
            <w:shd w:val="clear" w:color="auto" w:fill="auto"/>
            <w:hideMark/>
          </w:tcPr>
          <w:p w:rsidR="00F73FF4" w:rsidRPr="007B0774" w:rsidRDefault="00F73FF4" w:rsidP="002F3823">
            <w:pPr>
              <w:ind w:left="224"/>
              <w:rPr>
                <w:sz w:val="24"/>
                <w:lang w:eastAsia="uk-UA"/>
              </w:rPr>
            </w:pPr>
            <w:r w:rsidRPr="007B0774">
              <w:rPr>
                <w:sz w:val="24"/>
                <w:lang w:eastAsia="uk-UA"/>
              </w:rPr>
              <w:t>реальна зміна, відсотків, р/р</w:t>
            </w:r>
          </w:p>
        </w:tc>
        <w:tc>
          <w:tcPr>
            <w:tcW w:w="1141" w:type="dxa"/>
            <w:shd w:val="clear" w:color="auto" w:fill="auto"/>
            <w:vAlign w:val="bottom"/>
            <w:hideMark/>
          </w:tcPr>
          <w:p w:rsidR="00F73FF4" w:rsidRPr="007B0774" w:rsidRDefault="00F73FF4" w:rsidP="002F3823">
            <w:pPr>
              <w:jc w:val="right"/>
              <w:rPr>
                <w:sz w:val="24"/>
                <w:lang w:eastAsia="uk-UA"/>
              </w:rPr>
            </w:pPr>
            <w:r w:rsidRPr="007B0774">
              <w:rPr>
                <w:sz w:val="24"/>
                <w:lang w:eastAsia="uk-UA"/>
              </w:rPr>
              <w:t>5,3</w:t>
            </w:r>
          </w:p>
        </w:tc>
        <w:tc>
          <w:tcPr>
            <w:tcW w:w="1374" w:type="dxa"/>
            <w:shd w:val="clear" w:color="auto" w:fill="auto"/>
            <w:vAlign w:val="bottom"/>
          </w:tcPr>
          <w:p w:rsidR="00F73FF4" w:rsidRPr="007B0774" w:rsidRDefault="00F73FF4" w:rsidP="002F3823">
            <w:pPr>
              <w:jc w:val="right"/>
              <w:rPr>
                <w:sz w:val="24"/>
                <w:lang w:eastAsia="uk-UA"/>
              </w:rPr>
            </w:pPr>
            <w:r w:rsidRPr="007B0774">
              <w:rPr>
                <w:sz w:val="24"/>
                <w:lang w:eastAsia="uk-UA"/>
              </w:rPr>
              <w:t>4,6</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3,5</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2,7</w:t>
            </w:r>
          </w:p>
        </w:tc>
      </w:tr>
      <w:tr w:rsidR="00F73FF4" w:rsidRPr="007B0774" w:rsidTr="00F73FF4">
        <w:trPr>
          <w:jc w:val="center"/>
        </w:trPr>
        <w:tc>
          <w:tcPr>
            <w:tcW w:w="3923" w:type="dxa"/>
            <w:shd w:val="clear" w:color="auto" w:fill="auto"/>
            <w:hideMark/>
          </w:tcPr>
          <w:p w:rsidR="00F73FF4" w:rsidRPr="007B0774" w:rsidRDefault="00F73FF4" w:rsidP="002F3823">
            <w:pPr>
              <w:rPr>
                <w:b/>
                <w:bCs/>
                <w:sz w:val="24"/>
                <w:lang w:eastAsia="uk-UA"/>
              </w:rPr>
            </w:pPr>
            <w:r w:rsidRPr="007B0774">
              <w:rPr>
                <w:b/>
                <w:bCs/>
                <w:sz w:val="24"/>
                <w:lang w:eastAsia="uk-UA"/>
              </w:rPr>
              <w:t>Індекс споживчих цін,</w:t>
            </w:r>
            <w:r w:rsidRPr="007B0774">
              <w:rPr>
                <w:sz w:val="24"/>
                <w:lang w:eastAsia="uk-UA"/>
              </w:rPr>
              <w:t> відсотків</w:t>
            </w:r>
            <w:r w:rsidRPr="007B0774">
              <w:rPr>
                <w:bCs/>
                <w:sz w:val="24"/>
                <w:lang w:eastAsia="uk-UA"/>
              </w:rPr>
              <w:t>:</w:t>
            </w:r>
          </w:p>
        </w:tc>
        <w:tc>
          <w:tcPr>
            <w:tcW w:w="1141" w:type="dxa"/>
            <w:shd w:val="clear" w:color="auto" w:fill="auto"/>
            <w:vAlign w:val="bottom"/>
          </w:tcPr>
          <w:p w:rsidR="00F73FF4" w:rsidRPr="007B0774" w:rsidRDefault="00F73FF4" w:rsidP="002F3823">
            <w:pPr>
              <w:jc w:val="right"/>
              <w:rPr>
                <w:sz w:val="24"/>
                <w:lang w:eastAsia="uk-UA"/>
              </w:rPr>
            </w:pPr>
          </w:p>
        </w:tc>
        <w:tc>
          <w:tcPr>
            <w:tcW w:w="1374" w:type="dxa"/>
            <w:shd w:val="clear" w:color="auto" w:fill="auto"/>
            <w:vAlign w:val="bottom"/>
          </w:tcPr>
          <w:p w:rsidR="00F73FF4" w:rsidRPr="007B0774" w:rsidRDefault="00F73FF4" w:rsidP="002F3823">
            <w:pPr>
              <w:jc w:val="right"/>
              <w:rPr>
                <w:sz w:val="24"/>
                <w:lang w:eastAsia="uk-UA"/>
              </w:rPr>
            </w:pPr>
          </w:p>
        </w:tc>
        <w:tc>
          <w:tcPr>
            <w:tcW w:w="0" w:type="auto"/>
            <w:shd w:val="clear" w:color="auto" w:fill="auto"/>
            <w:vAlign w:val="bottom"/>
          </w:tcPr>
          <w:p w:rsidR="00F73FF4" w:rsidRPr="007B0774" w:rsidRDefault="00F73FF4" w:rsidP="002F3823">
            <w:pPr>
              <w:jc w:val="right"/>
              <w:rPr>
                <w:sz w:val="24"/>
                <w:lang w:eastAsia="uk-UA"/>
              </w:rPr>
            </w:pPr>
          </w:p>
        </w:tc>
        <w:tc>
          <w:tcPr>
            <w:tcW w:w="0" w:type="auto"/>
            <w:shd w:val="clear" w:color="auto" w:fill="auto"/>
            <w:vAlign w:val="bottom"/>
          </w:tcPr>
          <w:p w:rsidR="00F73FF4" w:rsidRPr="007B0774" w:rsidRDefault="00F73FF4" w:rsidP="002F3823">
            <w:pPr>
              <w:jc w:val="right"/>
              <w:rPr>
                <w:sz w:val="24"/>
                <w:lang w:eastAsia="uk-UA"/>
              </w:rPr>
            </w:pPr>
          </w:p>
        </w:tc>
      </w:tr>
      <w:tr w:rsidR="00F73FF4" w:rsidRPr="007B0774" w:rsidTr="00F73FF4">
        <w:trPr>
          <w:jc w:val="center"/>
        </w:trPr>
        <w:tc>
          <w:tcPr>
            <w:tcW w:w="3923" w:type="dxa"/>
            <w:shd w:val="clear" w:color="auto" w:fill="auto"/>
            <w:hideMark/>
          </w:tcPr>
          <w:p w:rsidR="00F73FF4" w:rsidRPr="007B0774" w:rsidRDefault="00F73FF4" w:rsidP="002F3823">
            <w:pPr>
              <w:ind w:left="224"/>
              <w:rPr>
                <w:sz w:val="24"/>
                <w:lang w:eastAsia="uk-UA"/>
              </w:rPr>
            </w:pPr>
            <w:r w:rsidRPr="007B0774">
              <w:rPr>
                <w:sz w:val="24"/>
                <w:lang w:eastAsia="uk-UA"/>
              </w:rPr>
              <w:t>у середньому до попереднього року, р/р</w:t>
            </w:r>
          </w:p>
        </w:tc>
        <w:tc>
          <w:tcPr>
            <w:tcW w:w="1141" w:type="dxa"/>
            <w:shd w:val="clear" w:color="auto" w:fill="auto"/>
            <w:vAlign w:val="bottom"/>
            <w:hideMark/>
          </w:tcPr>
          <w:p w:rsidR="00F73FF4" w:rsidRPr="007B0774" w:rsidRDefault="00F73FF4" w:rsidP="002F3823">
            <w:pPr>
              <w:jc w:val="right"/>
              <w:rPr>
                <w:sz w:val="24"/>
                <w:lang w:eastAsia="uk-UA"/>
              </w:rPr>
            </w:pPr>
            <w:r w:rsidRPr="007B0774">
              <w:rPr>
                <w:sz w:val="24"/>
                <w:lang w:eastAsia="uk-UA"/>
              </w:rPr>
              <w:t>112,9</w:t>
            </w:r>
          </w:p>
        </w:tc>
        <w:tc>
          <w:tcPr>
            <w:tcW w:w="1374" w:type="dxa"/>
            <w:shd w:val="clear" w:color="auto" w:fill="auto"/>
            <w:vAlign w:val="bottom"/>
          </w:tcPr>
          <w:p w:rsidR="00F73FF4" w:rsidRPr="007B0774" w:rsidRDefault="00F73FF4" w:rsidP="002F3823">
            <w:pPr>
              <w:jc w:val="right"/>
              <w:rPr>
                <w:sz w:val="24"/>
                <w:lang w:eastAsia="uk-UA"/>
              </w:rPr>
            </w:pPr>
            <w:r w:rsidRPr="007B0774">
              <w:rPr>
                <w:sz w:val="24"/>
                <w:lang w:eastAsia="uk-UA"/>
              </w:rPr>
              <w:t>108,5</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105,4</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109,7</w:t>
            </w:r>
          </w:p>
        </w:tc>
      </w:tr>
      <w:tr w:rsidR="00F73FF4" w:rsidRPr="007B0774" w:rsidTr="00F73FF4">
        <w:trPr>
          <w:jc w:val="center"/>
        </w:trPr>
        <w:tc>
          <w:tcPr>
            <w:tcW w:w="3923" w:type="dxa"/>
            <w:shd w:val="clear" w:color="auto" w:fill="auto"/>
            <w:hideMark/>
          </w:tcPr>
          <w:p w:rsidR="00F73FF4" w:rsidRPr="007B0774" w:rsidRDefault="00F73FF4" w:rsidP="002F3823">
            <w:pPr>
              <w:ind w:left="224"/>
              <w:rPr>
                <w:sz w:val="24"/>
                <w:lang w:eastAsia="uk-UA"/>
              </w:rPr>
            </w:pPr>
            <w:r w:rsidRPr="007B0774">
              <w:rPr>
                <w:sz w:val="24"/>
                <w:lang w:eastAsia="uk-UA"/>
              </w:rPr>
              <w:t>грудень до грудня попереднього року, р/р</w:t>
            </w:r>
          </w:p>
        </w:tc>
        <w:tc>
          <w:tcPr>
            <w:tcW w:w="1141" w:type="dxa"/>
            <w:shd w:val="clear" w:color="auto" w:fill="auto"/>
            <w:vAlign w:val="bottom"/>
            <w:hideMark/>
          </w:tcPr>
          <w:p w:rsidR="00F73FF4" w:rsidRPr="007B0774" w:rsidRDefault="00F73FF4" w:rsidP="002F3823">
            <w:pPr>
              <w:jc w:val="right"/>
              <w:rPr>
                <w:sz w:val="24"/>
                <w:lang w:eastAsia="uk-UA"/>
              </w:rPr>
            </w:pPr>
            <w:r w:rsidRPr="007B0774">
              <w:rPr>
                <w:sz w:val="24"/>
                <w:lang w:eastAsia="uk-UA"/>
              </w:rPr>
              <w:t>105,1</w:t>
            </w:r>
          </w:p>
        </w:tc>
        <w:tc>
          <w:tcPr>
            <w:tcW w:w="1374" w:type="dxa"/>
            <w:shd w:val="clear" w:color="auto" w:fill="auto"/>
            <w:vAlign w:val="bottom"/>
          </w:tcPr>
          <w:p w:rsidR="00F73FF4" w:rsidRPr="007B0774" w:rsidRDefault="00F73FF4" w:rsidP="002F3823">
            <w:pPr>
              <w:jc w:val="right"/>
              <w:rPr>
                <w:sz w:val="24"/>
                <w:lang w:eastAsia="uk-UA"/>
              </w:rPr>
            </w:pPr>
            <w:r w:rsidRPr="007B0774">
              <w:rPr>
                <w:sz w:val="24"/>
                <w:lang w:eastAsia="uk-UA"/>
              </w:rPr>
              <w:t>109,7</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107,9</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109,5</w:t>
            </w:r>
          </w:p>
        </w:tc>
      </w:tr>
      <w:tr w:rsidR="00F73FF4" w:rsidRPr="007B0774" w:rsidTr="00F73FF4">
        <w:trPr>
          <w:jc w:val="center"/>
        </w:trPr>
        <w:tc>
          <w:tcPr>
            <w:tcW w:w="3923" w:type="dxa"/>
            <w:shd w:val="clear" w:color="auto" w:fill="auto"/>
            <w:hideMark/>
          </w:tcPr>
          <w:p w:rsidR="00F73FF4" w:rsidRPr="007B0774" w:rsidRDefault="00F73FF4" w:rsidP="002F3823">
            <w:pPr>
              <w:rPr>
                <w:b/>
                <w:bCs/>
                <w:sz w:val="24"/>
                <w:lang w:eastAsia="uk-UA"/>
              </w:rPr>
            </w:pPr>
            <w:r w:rsidRPr="007B0774">
              <w:rPr>
                <w:b/>
                <w:bCs/>
                <w:sz w:val="24"/>
                <w:lang w:eastAsia="uk-UA"/>
              </w:rPr>
              <w:t>Індекс цін виробників промислової продукції,</w:t>
            </w:r>
            <w:r w:rsidRPr="007B0774">
              <w:rPr>
                <w:sz w:val="24"/>
                <w:lang w:eastAsia="uk-UA"/>
              </w:rPr>
              <w:t> відсотків</w:t>
            </w:r>
            <w:r w:rsidRPr="007B0774">
              <w:rPr>
                <w:bCs/>
                <w:sz w:val="24"/>
                <w:lang w:eastAsia="uk-UA"/>
              </w:rPr>
              <w:t>:</w:t>
            </w:r>
          </w:p>
        </w:tc>
        <w:tc>
          <w:tcPr>
            <w:tcW w:w="1141" w:type="dxa"/>
            <w:shd w:val="clear" w:color="auto" w:fill="auto"/>
            <w:vAlign w:val="bottom"/>
          </w:tcPr>
          <w:p w:rsidR="00F73FF4" w:rsidRPr="007B0774" w:rsidRDefault="00F73FF4" w:rsidP="002F3823">
            <w:pPr>
              <w:jc w:val="right"/>
              <w:rPr>
                <w:sz w:val="24"/>
                <w:lang w:eastAsia="uk-UA"/>
              </w:rPr>
            </w:pPr>
          </w:p>
        </w:tc>
        <w:tc>
          <w:tcPr>
            <w:tcW w:w="1374" w:type="dxa"/>
            <w:shd w:val="clear" w:color="auto" w:fill="auto"/>
            <w:vAlign w:val="bottom"/>
          </w:tcPr>
          <w:p w:rsidR="00F73FF4" w:rsidRPr="007B0774" w:rsidRDefault="00F73FF4" w:rsidP="002F3823">
            <w:pPr>
              <w:jc w:val="right"/>
              <w:rPr>
                <w:sz w:val="24"/>
                <w:lang w:eastAsia="uk-UA"/>
              </w:rPr>
            </w:pPr>
          </w:p>
        </w:tc>
        <w:tc>
          <w:tcPr>
            <w:tcW w:w="0" w:type="auto"/>
            <w:shd w:val="clear" w:color="auto" w:fill="auto"/>
            <w:vAlign w:val="bottom"/>
          </w:tcPr>
          <w:p w:rsidR="00F73FF4" w:rsidRPr="007B0774" w:rsidRDefault="00F73FF4" w:rsidP="002F3823">
            <w:pPr>
              <w:jc w:val="right"/>
              <w:rPr>
                <w:sz w:val="24"/>
                <w:lang w:eastAsia="uk-UA"/>
              </w:rPr>
            </w:pPr>
          </w:p>
        </w:tc>
        <w:tc>
          <w:tcPr>
            <w:tcW w:w="0" w:type="auto"/>
            <w:shd w:val="clear" w:color="auto" w:fill="auto"/>
            <w:vAlign w:val="bottom"/>
          </w:tcPr>
          <w:p w:rsidR="00F73FF4" w:rsidRPr="007B0774" w:rsidRDefault="00F73FF4" w:rsidP="002F3823">
            <w:pPr>
              <w:jc w:val="right"/>
              <w:rPr>
                <w:sz w:val="24"/>
                <w:lang w:eastAsia="uk-UA"/>
              </w:rPr>
            </w:pPr>
          </w:p>
        </w:tc>
      </w:tr>
      <w:tr w:rsidR="00F73FF4" w:rsidRPr="007B0774" w:rsidTr="00F73FF4">
        <w:trPr>
          <w:jc w:val="center"/>
        </w:trPr>
        <w:tc>
          <w:tcPr>
            <w:tcW w:w="3923" w:type="dxa"/>
            <w:shd w:val="clear" w:color="auto" w:fill="auto"/>
            <w:hideMark/>
          </w:tcPr>
          <w:p w:rsidR="00F73FF4" w:rsidRPr="007B0774" w:rsidRDefault="00F73FF4" w:rsidP="002F3823">
            <w:pPr>
              <w:ind w:left="224"/>
              <w:rPr>
                <w:sz w:val="24"/>
                <w:lang w:eastAsia="uk-UA"/>
              </w:rPr>
            </w:pPr>
            <w:r w:rsidRPr="007B0774">
              <w:rPr>
                <w:sz w:val="24"/>
                <w:lang w:eastAsia="uk-UA"/>
              </w:rPr>
              <w:t>грудень до грудня попереднього року, р/р</w:t>
            </w:r>
          </w:p>
        </w:tc>
        <w:tc>
          <w:tcPr>
            <w:tcW w:w="1141" w:type="dxa"/>
            <w:shd w:val="clear" w:color="auto" w:fill="auto"/>
            <w:vAlign w:val="bottom"/>
            <w:hideMark/>
          </w:tcPr>
          <w:p w:rsidR="00F73FF4" w:rsidRPr="007B0774" w:rsidRDefault="00F73FF4" w:rsidP="002F3823">
            <w:pPr>
              <w:jc w:val="right"/>
              <w:rPr>
                <w:sz w:val="24"/>
                <w:lang w:eastAsia="uk-UA"/>
              </w:rPr>
            </w:pPr>
            <w:r w:rsidRPr="007B0774">
              <w:rPr>
                <w:sz w:val="24"/>
                <w:lang w:eastAsia="uk-UA"/>
              </w:rPr>
              <w:t>116,2</w:t>
            </w:r>
          </w:p>
        </w:tc>
        <w:tc>
          <w:tcPr>
            <w:tcW w:w="1374" w:type="dxa"/>
            <w:shd w:val="clear" w:color="auto" w:fill="auto"/>
            <w:vAlign w:val="bottom"/>
          </w:tcPr>
          <w:p w:rsidR="00F73FF4" w:rsidRPr="007B0774" w:rsidRDefault="00F73FF4" w:rsidP="002F3823">
            <w:pPr>
              <w:jc w:val="right"/>
              <w:rPr>
                <w:sz w:val="24"/>
                <w:lang w:eastAsia="uk-UA"/>
              </w:rPr>
            </w:pPr>
            <w:r w:rsidRPr="007B0774">
              <w:rPr>
                <w:sz w:val="24"/>
                <w:lang w:eastAsia="uk-UA"/>
              </w:rPr>
              <w:t>111,4</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109,8</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111,1</w:t>
            </w:r>
          </w:p>
        </w:tc>
      </w:tr>
      <w:tr w:rsidR="00F73FF4" w:rsidRPr="007B0774" w:rsidTr="00F73FF4">
        <w:trPr>
          <w:jc w:val="center"/>
        </w:trPr>
        <w:tc>
          <w:tcPr>
            <w:tcW w:w="3923" w:type="dxa"/>
            <w:shd w:val="clear" w:color="auto" w:fill="auto"/>
          </w:tcPr>
          <w:p w:rsidR="00F73FF4" w:rsidRPr="007B0774" w:rsidRDefault="00F73FF4" w:rsidP="002F3823">
            <w:pPr>
              <w:rPr>
                <w:sz w:val="24"/>
                <w:lang w:eastAsia="uk-UA"/>
              </w:rPr>
            </w:pPr>
            <w:r w:rsidRPr="007B0774">
              <w:rPr>
                <w:b/>
                <w:bCs/>
                <w:sz w:val="24"/>
                <w:lang w:eastAsia="uk-UA"/>
              </w:rPr>
              <w:lastRenderedPageBreak/>
              <w:t>Середньомісячна заробітна плата працівників</w:t>
            </w:r>
            <w:r w:rsidRPr="007B0774">
              <w:rPr>
                <w:sz w:val="24"/>
                <w:lang w:eastAsia="uk-UA"/>
              </w:rPr>
              <w:t>, брутто, номінальна, грн</w:t>
            </w:r>
          </w:p>
        </w:tc>
        <w:tc>
          <w:tcPr>
            <w:tcW w:w="1141" w:type="dxa"/>
            <w:shd w:val="clear" w:color="auto" w:fill="auto"/>
            <w:vAlign w:val="bottom"/>
          </w:tcPr>
          <w:p w:rsidR="00F73FF4" w:rsidRPr="007B0774" w:rsidRDefault="00F73FF4" w:rsidP="002F3823">
            <w:pPr>
              <w:jc w:val="right"/>
              <w:rPr>
                <w:sz w:val="24"/>
                <w:lang w:eastAsia="uk-UA"/>
              </w:rPr>
            </w:pPr>
            <w:r w:rsidRPr="007B0774">
              <w:rPr>
                <w:sz w:val="24"/>
                <w:lang w:eastAsia="uk-UA"/>
              </w:rPr>
              <w:t>17 442</w:t>
            </w:r>
          </w:p>
        </w:tc>
        <w:tc>
          <w:tcPr>
            <w:tcW w:w="1374" w:type="dxa"/>
            <w:shd w:val="clear" w:color="auto" w:fill="auto"/>
            <w:vAlign w:val="bottom"/>
          </w:tcPr>
          <w:p w:rsidR="00F73FF4" w:rsidRPr="007B0774" w:rsidRDefault="00F73FF4" w:rsidP="002F3823">
            <w:pPr>
              <w:jc w:val="right"/>
              <w:rPr>
                <w:sz w:val="24"/>
                <w:lang w:eastAsia="uk-UA"/>
              </w:rPr>
            </w:pPr>
            <w:r w:rsidRPr="007B0774">
              <w:rPr>
                <w:sz w:val="24"/>
                <w:lang w:eastAsia="uk-UA"/>
              </w:rPr>
              <w:t>21 809</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20 581</w:t>
            </w:r>
          </w:p>
        </w:tc>
        <w:tc>
          <w:tcPr>
            <w:tcW w:w="0" w:type="auto"/>
            <w:shd w:val="clear" w:color="auto" w:fill="auto"/>
            <w:vAlign w:val="bottom"/>
          </w:tcPr>
          <w:p w:rsidR="00F73FF4" w:rsidRPr="007B0774" w:rsidRDefault="00F73FF4" w:rsidP="002F3823">
            <w:pPr>
              <w:jc w:val="right"/>
              <w:rPr>
                <w:sz w:val="24"/>
                <w:lang w:eastAsia="uk-UA"/>
              </w:rPr>
            </w:pPr>
            <w:r w:rsidRPr="007B0774">
              <w:rPr>
                <w:sz w:val="24"/>
                <w:lang w:eastAsia="uk-UA"/>
              </w:rPr>
              <w:t>24 389</w:t>
            </w:r>
          </w:p>
        </w:tc>
      </w:tr>
    </w:tbl>
    <w:p w:rsidR="000B1B98" w:rsidRPr="00E65D21" w:rsidRDefault="000B1B98" w:rsidP="000B1B98">
      <w:pPr>
        <w:jc w:val="both"/>
        <w:rPr>
          <w:i/>
          <w:iCs/>
          <w:sz w:val="14"/>
          <w:szCs w:val="28"/>
          <w:highlight w:val="yellow"/>
        </w:rPr>
      </w:pPr>
    </w:p>
    <w:p w:rsidR="000B1B98" w:rsidRDefault="000B1B98" w:rsidP="000B1B98">
      <w:pPr>
        <w:tabs>
          <w:tab w:val="left" w:pos="1080"/>
        </w:tabs>
        <w:ind w:left="567"/>
        <w:jc w:val="both"/>
        <w:rPr>
          <w:sz w:val="14"/>
        </w:rPr>
      </w:pPr>
    </w:p>
    <w:p w:rsidR="000B1B98" w:rsidRPr="00722CCB" w:rsidRDefault="000B1B98" w:rsidP="000B1B98">
      <w:pPr>
        <w:pStyle w:val="a5"/>
        <w:numPr>
          <w:ilvl w:val="0"/>
          <w:numId w:val="4"/>
        </w:numPr>
        <w:tabs>
          <w:tab w:val="left" w:pos="1080"/>
        </w:tabs>
        <w:ind w:left="0" w:firstLine="1069"/>
        <w:jc w:val="both"/>
      </w:pPr>
      <w:r w:rsidRPr="00722CCB">
        <w:t>введення воєнного стану на території Україні з 24 лютого 2022 року згідно Указу Президента України від 24.02.2022 N 64/2022 «Про введення воєнного стану в Україні», який затверджений Законом України                                      від 24.02.2022 № 2102-IX «Про затвердження Указу Президента України       «Про введення воєнного стану в Україні» (зі змінами);</w:t>
      </w:r>
    </w:p>
    <w:p w:rsidR="008B6A36" w:rsidRPr="008B6A36" w:rsidRDefault="008B6A36" w:rsidP="008B6A36">
      <w:pPr>
        <w:numPr>
          <w:ilvl w:val="0"/>
          <w:numId w:val="4"/>
        </w:numPr>
        <w:tabs>
          <w:tab w:val="left" w:pos="0"/>
        </w:tabs>
        <w:suppressAutoHyphens/>
        <w:spacing w:line="252" w:lineRule="auto"/>
        <w:ind w:left="0" w:firstLine="1069"/>
        <w:jc w:val="both"/>
        <w:rPr>
          <w:iCs/>
        </w:rPr>
      </w:pPr>
      <w:r>
        <w:rPr>
          <w:iCs/>
          <w:szCs w:val="28"/>
        </w:rPr>
        <w:t>продовження на 202</w:t>
      </w:r>
      <w:r w:rsidR="00AC3486">
        <w:rPr>
          <w:iCs/>
          <w:szCs w:val="28"/>
        </w:rPr>
        <w:t>5</w:t>
      </w:r>
      <w:r>
        <w:rPr>
          <w:iCs/>
          <w:szCs w:val="28"/>
        </w:rPr>
        <w:t xml:space="preserve"> рік дії тимчасової норми щодо підвищеного (+</w:t>
      </w:r>
      <w:r>
        <w:rPr>
          <w:iCs/>
          <w:szCs w:val="28"/>
          <w:lang w:val="ru-RU"/>
        </w:rPr>
        <w:t> </w:t>
      </w:r>
      <w:r>
        <w:rPr>
          <w:iCs/>
          <w:szCs w:val="28"/>
        </w:rPr>
        <w:t>4%) нормативу зарахування податку на доходи фізичних осіб до місцевих бюджетів;</w:t>
      </w:r>
    </w:p>
    <w:p w:rsidR="000B1B98" w:rsidRDefault="000B1B98" w:rsidP="000B1B98">
      <w:pPr>
        <w:numPr>
          <w:ilvl w:val="0"/>
          <w:numId w:val="4"/>
        </w:numPr>
        <w:tabs>
          <w:tab w:val="left" w:pos="1080"/>
        </w:tabs>
        <w:ind w:left="0" w:firstLine="1069"/>
        <w:jc w:val="both"/>
        <w:rPr>
          <w:szCs w:val="28"/>
        </w:rPr>
      </w:pPr>
      <w:r>
        <w:rPr>
          <w:szCs w:val="28"/>
        </w:rPr>
        <w:t>за</w:t>
      </w:r>
      <w:r w:rsidR="00E65D21">
        <w:rPr>
          <w:szCs w:val="28"/>
        </w:rPr>
        <w:t>стосування нормативу зарахування</w:t>
      </w:r>
      <w:r>
        <w:rPr>
          <w:szCs w:val="28"/>
        </w:rPr>
        <w:t xml:space="preserve"> податку на доходи фізичних осіб </w:t>
      </w:r>
      <w:r w:rsidR="00E65D21">
        <w:rPr>
          <w:szCs w:val="28"/>
        </w:rPr>
        <w:t>до місцевих бюджетів відповідно до норм Бюджетного кодексу України (без врахування податку на доходи фізичних осіб від</w:t>
      </w:r>
      <w:r>
        <w:rPr>
          <w:szCs w:val="28"/>
        </w:rPr>
        <w:t xml:space="preserve"> грошового забезпечення військовослужбовців</w:t>
      </w:r>
      <w:r w:rsidR="00E65D21">
        <w:rPr>
          <w:szCs w:val="28"/>
        </w:rPr>
        <w:t>)</w:t>
      </w:r>
      <w:r>
        <w:rPr>
          <w:szCs w:val="28"/>
        </w:rPr>
        <w:t>;</w:t>
      </w:r>
    </w:p>
    <w:p w:rsidR="000B1B98" w:rsidRDefault="00E65D21" w:rsidP="000B1B98">
      <w:pPr>
        <w:numPr>
          <w:ilvl w:val="0"/>
          <w:numId w:val="4"/>
        </w:numPr>
        <w:tabs>
          <w:tab w:val="left" w:pos="1080"/>
        </w:tabs>
        <w:ind w:left="0" w:firstLine="1069"/>
        <w:jc w:val="both"/>
        <w:rPr>
          <w:szCs w:val="28"/>
        </w:rPr>
      </w:pPr>
      <w:r>
        <w:rPr>
          <w:szCs w:val="28"/>
        </w:rPr>
        <w:t>прийняття</w:t>
      </w:r>
      <w:r w:rsidR="000B1B98">
        <w:rPr>
          <w:szCs w:val="28"/>
        </w:rPr>
        <w:t xml:space="preserve"> </w:t>
      </w:r>
      <w:r w:rsidRPr="00856151">
        <w:rPr>
          <w:iCs/>
          <w:szCs w:val="28"/>
          <w:lang w:eastAsia="uk-UA"/>
        </w:rPr>
        <w:t>Закон</w:t>
      </w:r>
      <w:r>
        <w:rPr>
          <w:iCs/>
          <w:szCs w:val="28"/>
          <w:lang w:eastAsia="uk-UA"/>
        </w:rPr>
        <w:t>у</w:t>
      </w:r>
      <w:r w:rsidRPr="00856151">
        <w:rPr>
          <w:iCs/>
          <w:szCs w:val="28"/>
          <w:lang w:eastAsia="uk-UA"/>
        </w:rPr>
        <w:t xml:space="preserve"> України «Про внесення змін до Податкового кодексу України та інших законодавчих актів України щодо звільнення від cплати плати за землю та податку на нерухоме майно, відмінне від земельної ділянки, за знищене чи пошкоджене нерухоме майно» №</w:t>
      </w:r>
      <w:r>
        <w:rPr>
          <w:iCs/>
          <w:szCs w:val="28"/>
          <w:lang w:eastAsia="uk-UA"/>
        </w:rPr>
        <w:t> </w:t>
      </w:r>
      <w:hyperlink r:id="rId5" w:tgtFrame="_blank" w:history="1">
        <w:r w:rsidRPr="00856151">
          <w:rPr>
            <w:iCs/>
            <w:szCs w:val="28"/>
            <w:lang w:eastAsia="uk-UA"/>
          </w:rPr>
          <w:t>3050-IX</w:t>
        </w:r>
      </w:hyperlink>
      <w:r w:rsidRPr="00856151">
        <w:rPr>
          <w:iCs/>
          <w:szCs w:val="28"/>
          <w:lang w:eastAsia="uk-UA"/>
        </w:rPr>
        <w:t xml:space="preserve"> від </w:t>
      </w:r>
      <w:r>
        <w:rPr>
          <w:iCs/>
          <w:szCs w:val="28"/>
          <w:lang w:eastAsia="uk-UA"/>
        </w:rPr>
        <w:t xml:space="preserve">11.04.2023 (далі – Закон №3050), який </w:t>
      </w:r>
      <w:r w:rsidRPr="00856151">
        <w:rPr>
          <w:iCs/>
          <w:szCs w:val="28"/>
          <w:lang w:eastAsia="uk-UA"/>
        </w:rPr>
        <w:t>набрав чинності</w:t>
      </w:r>
      <w:r>
        <w:rPr>
          <w:iCs/>
          <w:szCs w:val="28"/>
          <w:lang w:eastAsia="uk-UA"/>
        </w:rPr>
        <w:t xml:space="preserve"> </w:t>
      </w:r>
      <w:r w:rsidRPr="00856151">
        <w:rPr>
          <w:iCs/>
          <w:szCs w:val="28"/>
          <w:lang w:eastAsia="uk-UA"/>
        </w:rPr>
        <w:t>6 травня 2023 року</w:t>
      </w:r>
      <w:r w:rsidR="009F1F45">
        <w:rPr>
          <w:iCs/>
          <w:szCs w:val="28"/>
          <w:lang w:eastAsia="uk-UA"/>
        </w:rPr>
        <w:t>;</w:t>
      </w:r>
    </w:p>
    <w:p w:rsidR="000B1B98" w:rsidRDefault="000B1B98" w:rsidP="000B1B98">
      <w:pPr>
        <w:numPr>
          <w:ilvl w:val="0"/>
          <w:numId w:val="4"/>
        </w:numPr>
        <w:tabs>
          <w:tab w:val="left" w:pos="1080"/>
        </w:tabs>
        <w:ind w:left="0" w:firstLine="1069"/>
        <w:jc w:val="both"/>
        <w:rPr>
          <w:szCs w:val="28"/>
        </w:rPr>
      </w:pPr>
      <w:r>
        <w:rPr>
          <w:szCs w:val="28"/>
        </w:rPr>
        <w:t>зарахування акцизного податку з тютюнових виробів, тютюну та промислових замінників тютюну, рідин, що використовуються в електронних сигаретах, до місцевих бюджетів;</w:t>
      </w:r>
    </w:p>
    <w:p w:rsidR="009F1F45" w:rsidRDefault="009F1F45" w:rsidP="000B1B98">
      <w:pPr>
        <w:numPr>
          <w:ilvl w:val="0"/>
          <w:numId w:val="4"/>
        </w:numPr>
        <w:tabs>
          <w:tab w:val="left" w:pos="1080"/>
        </w:tabs>
        <w:ind w:left="0" w:firstLine="1069"/>
        <w:jc w:val="both"/>
        <w:rPr>
          <w:szCs w:val="28"/>
        </w:rPr>
      </w:pPr>
      <w:r>
        <w:rPr>
          <w:szCs w:val="28"/>
        </w:rPr>
        <w:t>зарахування до загального фонду бюджетів місцевого самоврядування 13,44% акцизного податку з виробленого в Україні та ввезеного на митну територію України пального</w:t>
      </w:r>
      <w:r w:rsidR="00861581">
        <w:rPr>
          <w:szCs w:val="28"/>
        </w:rPr>
        <w:t>, з урахуванням поступового наближення ставок акцизного податку на пальне до рівня, передбаченого директивами ЄС, відповідно до прийнятого 18.07.2024 Закону України «Про внесення змін до Податкового кодексу України щодо імплементації положень, актів права Європейського Союзу щодо акцизного податку»</w:t>
      </w:r>
      <w:r>
        <w:rPr>
          <w:szCs w:val="28"/>
        </w:rPr>
        <w:t xml:space="preserve">; </w:t>
      </w:r>
    </w:p>
    <w:p w:rsidR="000B1B98" w:rsidRDefault="000B1B98" w:rsidP="000B1B98">
      <w:pPr>
        <w:pStyle w:val="a5"/>
        <w:numPr>
          <w:ilvl w:val="0"/>
          <w:numId w:val="4"/>
        </w:numPr>
        <w:tabs>
          <w:tab w:val="left" w:pos="0"/>
        </w:tabs>
        <w:suppressAutoHyphens/>
        <w:spacing w:before="120" w:line="252" w:lineRule="auto"/>
        <w:ind w:left="0" w:firstLine="1069"/>
        <w:jc w:val="both"/>
        <w:rPr>
          <w:szCs w:val="24"/>
        </w:rPr>
      </w:pPr>
      <w:r>
        <w:rPr>
          <w:szCs w:val="28"/>
        </w:rPr>
        <w:t>фактичні надходження</w:t>
      </w:r>
      <w:r>
        <w:rPr>
          <w:szCs w:val="28"/>
          <w:lang w:val="ru-RU"/>
        </w:rPr>
        <w:t xml:space="preserve"> податків та зборів, зокрема за 20</w:t>
      </w:r>
      <w:r>
        <w:rPr>
          <w:szCs w:val="28"/>
        </w:rPr>
        <w:t>2</w:t>
      </w:r>
      <w:r w:rsidR="00592D89">
        <w:rPr>
          <w:szCs w:val="28"/>
        </w:rPr>
        <w:t>3</w:t>
      </w:r>
      <w:r>
        <w:rPr>
          <w:szCs w:val="28"/>
          <w:lang w:val="ru-RU"/>
        </w:rPr>
        <w:t xml:space="preserve"> рік, очікувані </w:t>
      </w:r>
      <w:r>
        <w:rPr>
          <w:szCs w:val="28"/>
        </w:rPr>
        <w:t xml:space="preserve">показники </w:t>
      </w:r>
      <w:r>
        <w:rPr>
          <w:szCs w:val="28"/>
          <w:lang w:val="ru-RU"/>
        </w:rPr>
        <w:t>на 202</w:t>
      </w:r>
      <w:r w:rsidR="00592D89">
        <w:rPr>
          <w:szCs w:val="28"/>
          <w:lang w:val="ru-RU"/>
        </w:rPr>
        <w:t>4</w:t>
      </w:r>
      <w:r>
        <w:rPr>
          <w:szCs w:val="28"/>
          <w:lang w:val="ru-RU"/>
        </w:rPr>
        <w:t xml:space="preserve"> рік та прогнозні на 202</w:t>
      </w:r>
      <w:r w:rsidR="00592D89">
        <w:rPr>
          <w:szCs w:val="28"/>
          <w:lang w:val="ru-RU"/>
        </w:rPr>
        <w:t>5</w:t>
      </w:r>
      <w:r>
        <w:rPr>
          <w:szCs w:val="28"/>
          <w:lang w:val="ru-RU"/>
        </w:rPr>
        <w:t xml:space="preserve"> рік</w:t>
      </w:r>
      <w:r>
        <w:rPr>
          <w:szCs w:val="28"/>
        </w:rPr>
        <w:t>, надані ГУ ДПС у Сумській області</w:t>
      </w:r>
      <w:r>
        <w:rPr>
          <w:szCs w:val="28"/>
          <w:lang w:val="ru-RU"/>
        </w:rPr>
        <w:t>.</w:t>
      </w:r>
    </w:p>
    <w:p w:rsidR="000B1B98" w:rsidRDefault="000B1B98" w:rsidP="000B1B98">
      <w:pPr>
        <w:tabs>
          <w:tab w:val="left" w:pos="1134"/>
        </w:tabs>
        <w:jc w:val="both"/>
        <w:rPr>
          <w:szCs w:val="28"/>
        </w:rPr>
      </w:pPr>
    </w:p>
    <w:p w:rsidR="000B1B98" w:rsidRDefault="000B1B98" w:rsidP="000B1B98">
      <w:pPr>
        <w:tabs>
          <w:tab w:val="left" w:pos="1134"/>
        </w:tabs>
        <w:jc w:val="both"/>
        <w:rPr>
          <w:b/>
          <w:bCs/>
          <w:sz w:val="16"/>
          <w:lang w:eastAsia="zh-CN"/>
        </w:rPr>
      </w:pPr>
      <w:r>
        <w:rPr>
          <w:szCs w:val="28"/>
        </w:rPr>
        <w:tab/>
      </w:r>
    </w:p>
    <w:p w:rsidR="000B1B98" w:rsidRDefault="000B1B98" w:rsidP="000B1B98">
      <w:pPr>
        <w:suppressAutoHyphens/>
        <w:ind w:firstLine="709"/>
        <w:jc w:val="both"/>
        <w:rPr>
          <w:b/>
          <w:bCs/>
          <w:sz w:val="16"/>
          <w:lang w:eastAsia="zh-CN"/>
        </w:rPr>
      </w:pPr>
    </w:p>
    <w:p w:rsidR="000B1B98" w:rsidRDefault="000B1B98" w:rsidP="000B1B98">
      <w:pPr>
        <w:suppressAutoHyphens/>
        <w:jc w:val="both"/>
        <w:rPr>
          <w:b/>
          <w:bCs/>
          <w:sz w:val="16"/>
          <w:highlight w:val="yellow"/>
          <w:lang w:eastAsia="zh-CN"/>
        </w:rPr>
      </w:pPr>
      <w:r>
        <w:rPr>
          <w:noProof/>
        </w:rPr>
        <w:lastRenderedPageBreak/>
        <w:drawing>
          <wp:inline distT="0" distB="0" distL="0" distR="0">
            <wp:extent cx="5905500" cy="3419475"/>
            <wp:effectExtent l="0" t="0" r="0"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1B98" w:rsidRDefault="000B1B98" w:rsidP="000B1B98">
      <w:pPr>
        <w:autoSpaceDE w:val="0"/>
        <w:autoSpaceDN w:val="0"/>
        <w:adjustRightInd w:val="0"/>
        <w:jc w:val="center"/>
        <w:rPr>
          <w:b/>
          <w:bCs/>
          <w:szCs w:val="28"/>
        </w:rPr>
      </w:pPr>
    </w:p>
    <w:p w:rsidR="000B1B98" w:rsidRDefault="000B1B98" w:rsidP="000B1B98">
      <w:pPr>
        <w:autoSpaceDE w:val="0"/>
        <w:autoSpaceDN w:val="0"/>
        <w:adjustRightInd w:val="0"/>
        <w:jc w:val="center"/>
        <w:rPr>
          <w:b/>
          <w:bCs/>
          <w:szCs w:val="28"/>
        </w:rPr>
      </w:pPr>
    </w:p>
    <w:p w:rsidR="000B1B98" w:rsidRDefault="000B1B98" w:rsidP="000B1B98">
      <w:pPr>
        <w:autoSpaceDE w:val="0"/>
        <w:autoSpaceDN w:val="0"/>
        <w:adjustRightInd w:val="0"/>
        <w:jc w:val="center"/>
        <w:rPr>
          <w:b/>
          <w:bCs/>
          <w:szCs w:val="28"/>
        </w:rPr>
      </w:pPr>
      <w:r>
        <w:rPr>
          <w:noProof/>
        </w:rPr>
        <w:drawing>
          <wp:inline distT="0" distB="0" distL="0" distR="0">
            <wp:extent cx="5857875" cy="4038600"/>
            <wp:effectExtent l="0" t="0" r="9525"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1B98" w:rsidRDefault="000B1B98" w:rsidP="000B1B98">
      <w:pPr>
        <w:autoSpaceDE w:val="0"/>
        <w:autoSpaceDN w:val="0"/>
        <w:adjustRightInd w:val="0"/>
        <w:jc w:val="center"/>
        <w:rPr>
          <w:b/>
          <w:bCs/>
          <w:szCs w:val="28"/>
        </w:rPr>
      </w:pPr>
    </w:p>
    <w:p w:rsidR="000B1B98" w:rsidRDefault="000B1B98" w:rsidP="000B1B98">
      <w:pPr>
        <w:autoSpaceDE w:val="0"/>
        <w:autoSpaceDN w:val="0"/>
        <w:adjustRightInd w:val="0"/>
        <w:jc w:val="center"/>
        <w:rPr>
          <w:b/>
          <w:bCs/>
          <w:szCs w:val="28"/>
        </w:rPr>
      </w:pPr>
    </w:p>
    <w:p w:rsidR="000B1B98" w:rsidRDefault="000B1B98" w:rsidP="000B1B98">
      <w:pPr>
        <w:autoSpaceDE w:val="0"/>
        <w:autoSpaceDN w:val="0"/>
        <w:adjustRightInd w:val="0"/>
        <w:jc w:val="center"/>
        <w:rPr>
          <w:b/>
          <w:bCs/>
          <w:szCs w:val="28"/>
        </w:rPr>
      </w:pPr>
      <w:r>
        <w:rPr>
          <w:b/>
          <w:bCs/>
          <w:szCs w:val="28"/>
        </w:rPr>
        <w:t>Динаміка надходжень власних доходів загального фонду до    бюджету Тростянецької міської територіальної громади</w:t>
      </w:r>
    </w:p>
    <w:p w:rsidR="000B1B98" w:rsidRDefault="000B1B98" w:rsidP="000B1B98">
      <w:pPr>
        <w:autoSpaceDE w:val="0"/>
        <w:autoSpaceDN w:val="0"/>
        <w:adjustRightInd w:val="0"/>
        <w:ind w:firstLine="720"/>
        <w:jc w:val="right"/>
        <w:rPr>
          <w:b/>
          <w:bCs/>
          <w:sz w:val="20"/>
          <w:szCs w:val="20"/>
        </w:rPr>
      </w:pPr>
      <w:r>
        <w:rPr>
          <w:bCs/>
          <w:sz w:val="20"/>
          <w:szCs w:val="20"/>
        </w:rPr>
        <w:t>тис.</w:t>
      </w:r>
      <w:r>
        <w:rPr>
          <w:bCs/>
          <w:sz w:val="20"/>
          <w:szCs w:val="20"/>
          <w:lang w:val="ru-RU"/>
        </w:rPr>
        <w:t xml:space="preserve"> </w:t>
      </w:r>
      <w:r>
        <w:rPr>
          <w:bCs/>
          <w:sz w:val="20"/>
          <w:szCs w:val="20"/>
        </w:rPr>
        <w:t>гривень</w:t>
      </w:r>
    </w:p>
    <w:tbl>
      <w:tblPr>
        <w:tblStyle w:val="a6"/>
        <w:tblW w:w="0" w:type="auto"/>
        <w:tblInd w:w="0" w:type="dxa"/>
        <w:tblLook w:val="04A0" w:firstRow="1" w:lastRow="0" w:firstColumn="1" w:lastColumn="0" w:noHBand="0" w:noVBand="1"/>
      </w:tblPr>
      <w:tblGrid>
        <w:gridCol w:w="1980"/>
        <w:gridCol w:w="1758"/>
        <w:gridCol w:w="1869"/>
        <w:gridCol w:w="1869"/>
        <w:gridCol w:w="1869"/>
      </w:tblGrid>
      <w:tr w:rsidR="000B1B98" w:rsidTr="000B1B98">
        <w:tc>
          <w:tcPr>
            <w:tcW w:w="1980" w:type="dxa"/>
            <w:tcBorders>
              <w:top w:val="single" w:sz="4" w:space="0" w:color="auto"/>
              <w:left w:val="single" w:sz="4" w:space="0" w:color="auto"/>
              <w:bottom w:val="single" w:sz="4" w:space="0" w:color="auto"/>
              <w:right w:val="single" w:sz="4" w:space="0" w:color="auto"/>
            </w:tcBorders>
          </w:tcPr>
          <w:p w:rsidR="000B1B98" w:rsidRDefault="000B1B98">
            <w:pPr>
              <w:autoSpaceDE w:val="0"/>
              <w:autoSpaceDN w:val="0"/>
              <w:adjustRightInd w:val="0"/>
              <w:jc w:val="both"/>
              <w:rPr>
                <w:b/>
                <w:sz w:val="22"/>
                <w:szCs w:val="22"/>
                <w:lang w:eastAsia="uk-UA"/>
              </w:rPr>
            </w:pPr>
          </w:p>
        </w:tc>
        <w:tc>
          <w:tcPr>
            <w:tcW w:w="1758"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
                <w:sz w:val="22"/>
                <w:szCs w:val="22"/>
                <w:lang w:eastAsia="uk-UA"/>
              </w:rPr>
            </w:pPr>
            <w:r>
              <w:rPr>
                <w:b/>
                <w:sz w:val="22"/>
                <w:szCs w:val="22"/>
                <w:lang w:eastAsia="uk-UA"/>
              </w:rPr>
              <w:t>Факт 202</w:t>
            </w:r>
            <w:r w:rsidR="00947917">
              <w:rPr>
                <w:b/>
                <w:sz w:val="22"/>
                <w:szCs w:val="22"/>
                <w:lang w:eastAsia="uk-UA"/>
              </w:rPr>
              <w:t>3</w:t>
            </w:r>
            <w:r>
              <w:rPr>
                <w:b/>
                <w:sz w:val="22"/>
                <w:szCs w:val="22"/>
                <w:lang w:eastAsia="uk-UA"/>
              </w:rPr>
              <w:t xml:space="preserve"> </w:t>
            </w:r>
            <w:r w:rsidR="00A77A11">
              <w:rPr>
                <w:b/>
                <w:sz w:val="22"/>
                <w:szCs w:val="22"/>
                <w:lang w:eastAsia="uk-UA"/>
              </w:rPr>
              <w:t>року</w:t>
            </w:r>
          </w:p>
        </w:tc>
        <w:tc>
          <w:tcPr>
            <w:tcW w:w="1869" w:type="dxa"/>
            <w:tcBorders>
              <w:top w:val="single" w:sz="4" w:space="0" w:color="auto"/>
              <w:left w:val="single" w:sz="4" w:space="0" w:color="auto"/>
              <w:bottom w:val="single" w:sz="4" w:space="0" w:color="auto"/>
              <w:right w:val="single" w:sz="4" w:space="0" w:color="auto"/>
            </w:tcBorders>
            <w:hideMark/>
          </w:tcPr>
          <w:p w:rsidR="000B1B98" w:rsidRPr="00EA17B7" w:rsidRDefault="000B1B98">
            <w:pPr>
              <w:autoSpaceDE w:val="0"/>
              <w:autoSpaceDN w:val="0"/>
              <w:adjustRightInd w:val="0"/>
              <w:jc w:val="both"/>
              <w:rPr>
                <w:b/>
                <w:sz w:val="22"/>
                <w:szCs w:val="22"/>
                <w:lang w:eastAsia="uk-UA"/>
              </w:rPr>
            </w:pPr>
            <w:r w:rsidRPr="00EA17B7">
              <w:rPr>
                <w:b/>
                <w:sz w:val="22"/>
                <w:szCs w:val="22"/>
                <w:lang w:eastAsia="uk-UA"/>
              </w:rPr>
              <w:t>Очікувані 202</w:t>
            </w:r>
            <w:r w:rsidR="00947917">
              <w:rPr>
                <w:b/>
                <w:sz w:val="22"/>
                <w:szCs w:val="22"/>
                <w:lang w:eastAsia="uk-UA"/>
              </w:rPr>
              <w:t>4</w:t>
            </w:r>
            <w:r w:rsidRPr="00EA17B7">
              <w:rPr>
                <w:b/>
                <w:sz w:val="22"/>
                <w:szCs w:val="22"/>
                <w:lang w:eastAsia="uk-UA"/>
              </w:rPr>
              <w:t xml:space="preserve"> року</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
                <w:sz w:val="22"/>
                <w:szCs w:val="22"/>
                <w:lang w:eastAsia="uk-UA"/>
              </w:rPr>
            </w:pPr>
            <w:r>
              <w:rPr>
                <w:b/>
                <w:sz w:val="22"/>
                <w:szCs w:val="22"/>
                <w:lang w:eastAsia="uk-UA"/>
              </w:rPr>
              <w:t>Прогноз на 202</w:t>
            </w:r>
            <w:r w:rsidR="00947917">
              <w:rPr>
                <w:b/>
                <w:sz w:val="22"/>
                <w:szCs w:val="22"/>
                <w:lang w:eastAsia="uk-UA"/>
              </w:rPr>
              <w:t>5</w:t>
            </w:r>
            <w:r>
              <w:rPr>
                <w:b/>
                <w:sz w:val="22"/>
                <w:szCs w:val="22"/>
                <w:lang w:eastAsia="uk-UA"/>
              </w:rPr>
              <w:t xml:space="preserve"> рік</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
                <w:sz w:val="22"/>
                <w:szCs w:val="22"/>
                <w:lang w:eastAsia="uk-UA"/>
              </w:rPr>
            </w:pPr>
            <w:r>
              <w:rPr>
                <w:b/>
                <w:sz w:val="22"/>
                <w:szCs w:val="22"/>
                <w:lang w:eastAsia="uk-UA"/>
              </w:rPr>
              <w:t>% зростання прогнозу на 202</w:t>
            </w:r>
            <w:r w:rsidR="00947917">
              <w:rPr>
                <w:b/>
                <w:sz w:val="22"/>
                <w:szCs w:val="22"/>
                <w:lang w:eastAsia="uk-UA"/>
              </w:rPr>
              <w:t>5</w:t>
            </w:r>
            <w:r>
              <w:rPr>
                <w:b/>
                <w:sz w:val="22"/>
                <w:szCs w:val="22"/>
                <w:lang w:eastAsia="uk-UA"/>
              </w:rPr>
              <w:t xml:space="preserve"> рік до </w:t>
            </w:r>
            <w:r>
              <w:rPr>
                <w:b/>
                <w:sz w:val="22"/>
                <w:szCs w:val="22"/>
                <w:lang w:eastAsia="uk-UA"/>
              </w:rPr>
              <w:lastRenderedPageBreak/>
              <w:t>очікуваних за 202</w:t>
            </w:r>
            <w:r w:rsidR="00947917">
              <w:rPr>
                <w:b/>
                <w:sz w:val="22"/>
                <w:szCs w:val="22"/>
                <w:lang w:eastAsia="uk-UA"/>
              </w:rPr>
              <w:t>4</w:t>
            </w:r>
            <w:r>
              <w:rPr>
                <w:b/>
                <w:sz w:val="22"/>
                <w:szCs w:val="22"/>
                <w:lang w:eastAsia="uk-UA"/>
              </w:rPr>
              <w:t xml:space="preserve"> рік</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
                <w:bCs/>
                <w:sz w:val="22"/>
                <w:szCs w:val="22"/>
                <w:lang w:eastAsia="uk-UA"/>
              </w:rPr>
            </w:pPr>
            <w:r>
              <w:rPr>
                <w:b/>
                <w:bCs/>
                <w:sz w:val="22"/>
                <w:szCs w:val="22"/>
                <w:lang w:eastAsia="uk-UA"/>
              </w:rPr>
              <w:lastRenderedPageBreak/>
              <w:t>Всього загальний фонд, у т.ч.:</w:t>
            </w:r>
          </w:p>
        </w:tc>
        <w:tc>
          <w:tcPr>
            <w:tcW w:w="1758" w:type="dxa"/>
            <w:tcBorders>
              <w:top w:val="single" w:sz="4" w:space="0" w:color="auto"/>
              <w:left w:val="single" w:sz="4" w:space="0" w:color="auto"/>
              <w:bottom w:val="single" w:sz="4" w:space="0" w:color="auto"/>
              <w:right w:val="single" w:sz="4" w:space="0" w:color="auto"/>
            </w:tcBorders>
            <w:hideMark/>
          </w:tcPr>
          <w:p w:rsidR="000B1B98" w:rsidRDefault="00947917">
            <w:pPr>
              <w:autoSpaceDE w:val="0"/>
              <w:autoSpaceDN w:val="0"/>
              <w:adjustRightInd w:val="0"/>
              <w:jc w:val="center"/>
              <w:rPr>
                <w:b/>
                <w:bCs/>
                <w:sz w:val="22"/>
                <w:szCs w:val="22"/>
                <w:lang w:eastAsia="uk-UA"/>
              </w:rPr>
            </w:pPr>
            <w:r>
              <w:rPr>
                <w:b/>
                <w:bCs/>
                <w:sz w:val="22"/>
                <w:szCs w:val="22"/>
                <w:lang w:eastAsia="uk-UA"/>
              </w:rPr>
              <w:t>214 404,3</w:t>
            </w:r>
          </w:p>
        </w:tc>
        <w:tc>
          <w:tcPr>
            <w:tcW w:w="1869" w:type="dxa"/>
            <w:tcBorders>
              <w:top w:val="single" w:sz="4" w:space="0" w:color="auto"/>
              <w:left w:val="single" w:sz="4" w:space="0" w:color="auto"/>
              <w:bottom w:val="single" w:sz="4" w:space="0" w:color="auto"/>
              <w:right w:val="single" w:sz="4" w:space="0" w:color="auto"/>
            </w:tcBorders>
            <w:hideMark/>
          </w:tcPr>
          <w:p w:rsidR="000B1B98" w:rsidRPr="00EA17B7" w:rsidRDefault="00947917">
            <w:pPr>
              <w:autoSpaceDE w:val="0"/>
              <w:autoSpaceDN w:val="0"/>
              <w:adjustRightInd w:val="0"/>
              <w:jc w:val="center"/>
              <w:rPr>
                <w:b/>
                <w:bCs/>
                <w:sz w:val="22"/>
                <w:szCs w:val="22"/>
                <w:lang w:eastAsia="uk-UA"/>
              </w:rPr>
            </w:pPr>
            <w:r>
              <w:rPr>
                <w:b/>
                <w:bCs/>
                <w:sz w:val="22"/>
                <w:szCs w:val="22"/>
                <w:lang w:eastAsia="uk-UA"/>
              </w:rPr>
              <w:t>228 146,8’</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947917">
            <w:pPr>
              <w:autoSpaceDE w:val="0"/>
              <w:autoSpaceDN w:val="0"/>
              <w:adjustRightInd w:val="0"/>
              <w:jc w:val="center"/>
              <w:rPr>
                <w:b/>
                <w:bCs/>
                <w:sz w:val="22"/>
                <w:szCs w:val="22"/>
                <w:lang w:eastAsia="uk-UA"/>
              </w:rPr>
            </w:pPr>
            <w:r>
              <w:rPr>
                <w:b/>
                <w:bCs/>
                <w:sz w:val="22"/>
                <w:szCs w:val="22"/>
                <w:lang w:eastAsia="uk-UA"/>
              </w:rPr>
              <w:t>237 885,5</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947917">
            <w:pPr>
              <w:autoSpaceDE w:val="0"/>
              <w:autoSpaceDN w:val="0"/>
              <w:adjustRightInd w:val="0"/>
              <w:jc w:val="center"/>
              <w:rPr>
                <w:b/>
                <w:bCs/>
                <w:sz w:val="22"/>
                <w:szCs w:val="22"/>
                <w:lang w:eastAsia="uk-UA"/>
              </w:rPr>
            </w:pPr>
            <w:r>
              <w:rPr>
                <w:b/>
                <w:bCs/>
                <w:sz w:val="22"/>
                <w:szCs w:val="22"/>
                <w:lang w:eastAsia="uk-UA"/>
              </w:rPr>
              <w:t>104,3</w:t>
            </w:r>
            <w:r w:rsidR="00B17776">
              <w:rPr>
                <w:b/>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Податок та збір на доходи фізичних осіб</w:t>
            </w:r>
          </w:p>
        </w:tc>
        <w:tc>
          <w:tcPr>
            <w:tcW w:w="1758" w:type="dxa"/>
            <w:tcBorders>
              <w:top w:val="single" w:sz="4" w:space="0" w:color="auto"/>
              <w:left w:val="single" w:sz="4" w:space="0" w:color="auto"/>
              <w:bottom w:val="single" w:sz="4" w:space="0" w:color="auto"/>
              <w:right w:val="single" w:sz="4" w:space="0" w:color="auto"/>
            </w:tcBorders>
            <w:hideMark/>
          </w:tcPr>
          <w:p w:rsidR="000B1B98" w:rsidRDefault="00D12055">
            <w:pPr>
              <w:autoSpaceDE w:val="0"/>
              <w:autoSpaceDN w:val="0"/>
              <w:adjustRightInd w:val="0"/>
              <w:jc w:val="center"/>
              <w:rPr>
                <w:bCs/>
                <w:sz w:val="22"/>
                <w:szCs w:val="22"/>
                <w:lang w:eastAsia="uk-UA"/>
              </w:rPr>
            </w:pPr>
            <w:r>
              <w:rPr>
                <w:bCs/>
                <w:sz w:val="22"/>
                <w:szCs w:val="22"/>
                <w:lang w:eastAsia="uk-UA"/>
              </w:rPr>
              <w:t>123 062,1</w:t>
            </w:r>
          </w:p>
        </w:tc>
        <w:tc>
          <w:tcPr>
            <w:tcW w:w="1869" w:type="dxa"/>
            <w:tcBorders>
              <w:top w:val="single" w:sz="4" w:space="0" w:color="auto"/>
              <w:left w:val="single" w:sz="4" w:space="0" w:color="auto"/>
              <w:bottom w:val="single" w:sz="4" w:space="0" w:color="auto"/>
              <w:right w:val="single" w:sz="4" w:space="0" w:color="auto"/>
            </w:tcBorders>
            <w:hideMark/>
          </w:tcPr>
          <w:p w:rsidR="000B1B98" w:rsidRPr="00EA17B7" w:rsidRDefault="00D12055">
            <w:pPr>
              <w:autoSpaceDE w:val="0"/>
              <w:autoSpaceDN w:val="0"/>
              <w:adjustRightInd w:val="0"/>
              <w:jc w:val="center"/>
              <w:rPr>
                <w:bCs/>
                <w:sz w:val="22"/>
                <w:szCs w:val="22"/>
                <w:lang w:eastAsia="uk-UA"/>
              </w:rPr>
            </w:pPr>
            <w:r>
              <w:rPr>
                <w:bCs/>
                <w:sz w:val="22"/>
                <w:szCs w:val="22"/>
                <w:lang w:eastAsia="uk-UA"/>
              </w:rPr>
              <w:t>137 973,3</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D12055">
            <w:pPr>
              <w:autoSpaceDE w:val="0"/>
              <w:autoSpaceDN w:val="0"/>
              <w:adjustRightInd w:val="0"/>
              <w:jc w:val="center"/>
              <w:rPr>
                <w:bCs/>
                <w:sz w:val="22"/>
                <w:szCs w:val="22"/>
                <w:lang w:eastAsia="uk-UA"/>
              </w:rPr>
            </w:pPr>
            <w:r>
              <w:rPr>
                <w:bCs/>
                <w:sz w:val="22"/>
                <w:szCs w:val="22"/>
                <w:lang w:eastAsia="uk-UA"/>
              </w:rPr>
              <w:t>142 479,1</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B640A0">
            <w:pPr>
              <w:autoSpaceDE w:val="0"/>
              <w:autoSpaceDN w:val="0"/>
              <w:adjustRightInd w:val="0"/>
              <w:jc w:val="center"/>
              <w:rPr>
                <w:bCs/>
                <w:sz w:val="22"/>
                <w:szCs w:val="22"/>
                <w:lang w:eastAsia="uk-UA"/>
              </w:rPr>
            </w:pPr>
            <w:r>
              <w:rPr>
                <w:bCs/>
                <w:sz w:val="22"/>
                <w:szCs w:val="22"/>
                <w:lang w:eastAsia="uk-UA"/>
              </w:rPr>
              <w:t>103,</w:t>
            </w:r>
            <w:r w:rsidR="00D12055">
              <w:rPr>
                <w:bCs/>
                <w:sz w:val="22"/>
                <w:szCs w:val="22"/>
                <w:lang w:eastAsia="uk-UA"/>
              </w:rPr>
              <w:t>3</w:t>
            </w:r>
            <w:r>
              <w:rPr>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Податок на прибуток підприємств та фінансових установ комунальної власності</w:t>
            </w:r>
          </w:p>
        </w:tc>
        <w:tc>
          <w:tcPr>
            <w:tcW w:w="1758" w:type="dxa"/>
            <w:tcBorders>
              <w:top w:val="single" w:sz="4" w:space="0" w:color="auto"/>
              <w:left w:val="single" w:sz="4" w:space="0" w:color="auto"/>
              <w:bottom w:val="single" w:sz="4" w:space="0" w:color="auto"/>
              <w:right w:val="single" w:sz="4" w:space="0" w:color="auto"/>
            </w:tcBorders>
          </w:tcPr>
          <w:p w:rsidR="00A77A11" w:rsidRDefault="00A77A11">
            <w:pPr>
              <w:autoSpaceDE w:val="0"/>
              <w:autoSpaceDN w:val="0"/>
              <w:adjustRightInd w:val="0"/>
              <w:jc w:val="center"/>
              <w:rPr>
                <w:bCs/>
                <w:sz w:val="22"/>
                <w:szCs w:val="22"/>
                <w:lang w:eastAsia="uk-UA"/>
              </w:rPr>
            </w:pPr>
          </w:p>
          <w:p w:rsidR="00A77A11" w:rsidRDefault="00A77A11">
            <w:pPr>
              <w:autoSpaceDE w:val="0"/>
              <w:autoSpaceDN w:val="0"/>
              <w:adjustRightInd w:val="0"/>
              <w:jc w:val="center"/>
              <w:rPr>
                <w:bCs/>
                <w:sz w:val="22"/>
                <w:szCs w:val="22"/>
                <w:lang w:eastAsia="uk-UA"/>
              </w:rPr>
            </w:pPr>
          </w:p>
          <w:p w:rsidR="000B1B98" w:rsidRDefault="00861581">
            <w:pPr>
              <w:autoSpaceDE w:val="0"/>
              <w:autoSpaceDN w:val="0"/>
              <w:adjustRightInd w:val="0"/>
              <w:jc w:val="center"/>
              <w:rPr>
                <w:bCs/>
                <w:sz w:val="22"/>
                <w:szCs w:val="22"/>
                <w:lang w:eastAsia="uk-UA"/>
              </w:rPr>
            </w:pPr>
            <w:r>
              <w:rPr>
                <w:bCs/>
                <w:sz w:val="22"/>
                <w:szCs w:val="22"/>
                <w:lang w:eastAsia="uk-UA"/>
              </w:rPr>
              <w:t>936,9</w:t>
            </w:r>
          </w:p>
        </w:tc>
        <w:tc>
          <w:tcPr>
            <w:tcW w:w="1869" w:type="dxa"/>
            <w:tcBorders>
              <w:top w:val="single" w:sz="4" w:space="0" w:color="auto"/>
              <w:left w:val="single" w:sz="4" w:space="0" w:color="auto"/>
              <w:bottom w:val="single" w:sz="4" w:space="0" w:color="auto"/>
              <w:right w:val="single" w:sz="4" w:space="0" w:color="auto"/>
            </w:tcBorders>
          </w:tcPr>
          <w:p w:rsidR="00861581" w:rsidRDefault="00861581">
            <w:pPr>
              <w:autoSpaceDE w:val="0"/>
              <w:autoSpaceDN w:val="0"/>
              <w:adjustRightInd w:val="0"/>
              <w:jc w:val="center"/>
              <w:rPr>
                <w:bCs/>
                <w:sz w:val="22"/>
                <w:szCs w:val="22"/>
                <w:lang w:eastAsia="uk-UA"/>
              </w:rPr>
            </w:pPr>
          </w:p>
          <w:p w:rsidR="00861581" w:rsidRDefault="00861581">
            <w:pPr>
              <w:autoSpaceDE w:val="0"/>
              <w:autoSpaceDN w:val="0"/>
              <w:adjustRightInd w:val="0"/>
              <w:jc w:val="center"/>
              <w:rPr>
                <w:bCs/>
                <w:sz w:val="22"/>
                <w:szCs w:val="22"/>
                <w:lang w:eastAsia="uk-UA"/>
              </w:rPr>
            </w:pPr>
          </w:p>
          <w:p w:rsidR="000B1B98" w:rsidRPr="00EA17B7" w:rsidRDefault="00861581">
            <w:pPr>
              <w:autoSpaceDE w:val="0"/>
              <w:autoSpaceDN w:val="0"/>
              <w:adjustRightInd w:val="0"/>
              <w:jc w:val="center"/>
              <w:rPr>
                <w:bCs/>
                <w:sz w:val="22"/>
                <w:szCs w:val="22"/>
                <w:lang w:eastAsia="uk-UA"/>
              </w:rPr>
            </w:pPr>
            <w:r>
              <w:rPr>
                <w:bCs/>
                <w:sz w:val="22"/>
                <w:szCs w:val="22"/>
                <w:lang w:eastAsia="uk-UA"/>
              </w:rPr>
              <w:t>657,9</w:t>
            </w:r>
          </w:p>
          <w:p w:rsidR="000B1B98" w:rsidRPr="00EA17B7"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tcPr>
          <w:p w:rsidR="00861581" w:rsidRDefault="00861581">
            <w:pPr>
              <w:autoSpaceDE w:val="0"/>
              <w:autoSpaceDN w:val="0"/>
              <w:adjustRightInd w:val="0"/>
              <w:jc w:val="center"/>
              <w:rPr>
                <w:bCs/>
                <w:sz w:val="22"/>
                <w:szCs w:val="22"/>
                <w:lang w:eastAsia="uk-UA"/>
              </w:rPr>
            </w:pPr>
          </w:p>
          <w:p w:rsidR="00861581" w:rsidRDefault="00861581">
            <w:pPr>
              <w:autoSpaceDE w:val="0"/>
              <w:autoSpaceDN w:val="0"/>
              <w:adjustRightInd w:val="0"/>
              <w:jc w:val="center"/>
              <w:rPr>
                <w:bCs/>
                <w:sz w:val="22"/>
                <w:szCs w:val="22"/>
                <w:lang w:eastAsia="uk-UA"/>
              </w:rPr>
            </w:pPr>
          </w:p>
          <w:p w:rsidR="000B1B98" w:rsidRDefault="00861581">
            <w:pPr>
              <w:autoSpaceDE w:val="0"/>
              <w:autoSpaceDN w:val="0"/>
              <w:adjustRightInd w:val="0"/>
              <w:jc w:val="center"/>
              <w:rPr>
                <w:bCs/>
                <w:sz w:val="22"/>
                <w:szCs w:val="22"/>
                <w:lang w:eastAsia="uk-UA"/>
              </w:rPr>
            </w:pPr>
            <w:r>
              <w:rPr>
                <w:bCs/>
                <w:sz w:val="22"/>
                <w:szCs w:val="22"/>
                <w:lang w:eastAsia="uk-UA"/>
              </w:rPr>
              <w:t>660.0</w:t>
            </w:r>
          </w:p>
          <w:p w:rsidR="000B1B98"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tcPr>
          <w:p w:rsidR="000B1B98" w:rsidRDefault="000B1B98">
            <w:pPr>
              <w:autoSpaceDE w:val="0"/>
              <w:autoSpaceDN w:val="0"/>
              <w:adjustRightInd w:val="0"/>
              <w:jc w:val="center"/>
              <w:rPr>
                <w:bCs/>
                <w:sz w:val="22"/>
                <w:szCs w:val="22"/>
                <w:lang w:eastAsia="uk-UA"/>
              </w:rPr>
            </w:pPr>
          </w:p>
          <w:p w:rsidR="000B1B98" w:rsidRDefault="000B1B98">
            <w:pPr>
              <w:autoSpaceDE w:val="0"/>
              <w:autoSpaceDN w:val="0"/>
              <w:adjustRightInd w:val="0"/>
              <w:jc w:val="center"/>
              <w:rPr>
                <w:bCs/>
                <w:sz w:val="22"/>
                <w:szCs w:val="22"/>
                <w:lang w:eastAsia="uk-UA"/>
              </w:rPr>
            </w:pPr>
          </w:p>
          <w:p w:rsidR="000B1B98" w:rsidRDefault="00A77A11">
            <w:pPr>
              <w:autoSpaceDE w:val="0"/>
              <w:autoSpaceDN w:val="0"/>
              <w:adjustRightInd w:val="0"/>
              <w:jc w:val="center"/>
              <w:rPr>
                <w:bCs/>
                <w:sz w:val="22"/>
                <w:szCs w:val="22"/>
                <w:lang w:eastAsia="uk-UA"/>
              </w:rPr>
            </w:pPr>
            <w:r>
              <w:rPr>
                <w:bCs/>
                <w:sz w:val="22"/>
                <w:szCs w:val="22"/>
                <w:lang w:eastAsia="uk-UA"/>
              </w:rPr>
              <w:t>10</w:t>
            </w:r>
            <w:r w:rsidR="00861581">
              <w:rPr>
                <w:bCs/>
                <w:sz w:val="22"/>
                <w:szCs w:val="22"/>
                <w:lang w:eastAsia="uk-UA"/>
              </w:rPr>
              <w:t>0</w:t>
            </w:r>
            <w:r>
              <w:rPr>
                <w:bCs/>
                <w:sz w:val="22"/>
                <w:szCs w:val="22"/>
                <w:lang w:eastAsia="uk-UA"/>
              </w:rPr>
              <w:t>,</w:t>
            </w:r>
            <w:r w:rsidR="00861581">
              <w:rPr>
                <w:bCs/>
                <w:sz w:val="22"/>
                <w:szCs w:val="22"/>
                <w:lang w:eastAsia="uk-UA"/>
              </w:rPr>
              <w:t>3</w:t>
            </w:r>
            <w:r w:rsidR="000B1B98">
              <w:rPr>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Рентна плата та плата за використання інших природних ресурсів</w:t>
            </w:r>
          </w:p>
        </w:tc>
        <w:tc>
          <w:tcPr>
            <w:tcW w:w="1758" w:type="dxa"/>
            <w:tcBorders>
              <w:top w:val="single" w:sz="4" w:space="0" w:color="auto"/>
              <w:left w:val="single" w:sz="4" w:space="0" w:color="auto"/>
              <w:bottom w:val="single" w:sz="4" w:space="0" w:color="auto"/>
              <w:right w:val="single" w:sz="4" w:space="0" w:color="auto"/>
            </w:tcBorders>
          </w:tcPr>
          <w:p w:rsidR="000B1B98" w:rsidRDefault="000B1B98">
            <w:pPr>
              <w:autoSpaceDE w:val="0"/>
              <w:autoSpaceDN w:val="0"/>
              <w:adjustRightInd w:val="0"/>
              <w:jc w:val="center"/>
              <w:rPr>
                <w:bCs/>
                <w:sz w:val="22"/>
                <w:szCs w:val="22"/>
                <w:lang w:eastAsia="uk-UA"/>
              </w:rPr>
            </w:pPr>
          </w:p>
          <w:p w:rsidR="000B1B98" w:rsidRDefault="000B1B98">
            <w:pPr>
              <w:autoSpaceDE w:val="0"/>
              <w:autoSpaceDN w:val="0"/>
              <w:adjustRightInd w:val="0"/>
              <w:jc w:val="center"/>
              <w:rPr>
                <w:bCs/>
                <w:sz w:val="22"/>
                <w:szCs w:val="22"/>
                <w:lang w:eastAsia="uk-UA"/>
              </w:rPr>
            </w:pPr>
          </w:p>
          <w:p w:rsidR="000B1B98" w:rsidRDefault="00861581">
            <w:pPr>
              <w:autoSpaceDE w:val="0"/>
              <w:autoSpaceDN w:val="0"/>
              <w:adjustRightInd w:val="0"/>
              <w:jc w:val="center"/>
              <w:rPr>
                <w:bCs/>
                <w:sz w:val="22"/>
                <w:szCs w:val="22"/>
                <w:lang w:eastAsia="uk-UA"/>
              </w:rPr>
            </w:pPr>
            <w:r>
              <w:rPr>
                <w:bCs/>
                <w:sz w:val="22"/>
                <w:szCs w:val="22"/>
                <w:lang w:eastAsia="uk-UA"/>
              </w:rPr>
              <w:t>4 221,3</w:t>
            </w:r>
          </w:p>
        </w:tc>
        <w:tc>
          <w:tcPr>
            <w:tcW w:w="1869" w:type="dxa"/>
            <w:tcBorders>
              <w:top w:val="single" w:sz="4" w:space="0" w:color="auto"/>
              <w:left w:val="single" w:sz="4" w:space="0" w:color="auto"/>
              <w:bottom w:val="single" w:sz="4" w:space="0" w:color="auto"/>
              <w:right w:val="single" w:sz="4" w:space="0" w:color="auto"/>
            </w:tcBorders>
          </w:tcPr>
          <w:p w:rsidR="000B1B98" w:rsidRPr="00EA17B7" w:rsidRDefault="000B1B98">
            <w:pPr>
              <w:autoSpaceDE w:val="0"/>
              <w:autoSpaceDN w:val="0"/>
              <w:adjustRightInd w:val="0"/>
              <w:jc w:val="center"/>
              <w:rPr>
                <w:bCs/>
                <w:sz w:val="22"/>
                <w:szCs w:val="22"/>
                <w:lang w:eastAsia="uk-UA"/>
              </w:rPr>
            </w:pPr>
          </w:p>
          <w:p w:rsidR="000B1B98" w:rsidRPr="00EA17B7" w:rsidRDefault="000B1B98">
            <w:pPr>
              <w:autoSpaceDE w:val="0"/>
              <w:autoSpaceDN w:val="0"/>
              <w:adjustRightInd w:val="0"/>
              <w:jc w:val="center"/>
              <w:rPr>
                <w:bCs/>
                <w:sz w:val="22"/>
                <w:szCs w:val="22"/>
                <w:lang w:eastAsia="uk-UA"/>
              </w:rPr>
            </w:pPr>
          </w:p>
          <w:p w:rsidR="000B1B98" w:rsidRPr="00EA17B7" w:rsidRDefault="00B640A0">
            <w:pPr>
              <w:autoSpaceDE w:val="0"/>
              <w:autoSpaceDN w:val="0"/>
              <w:adjustRightInd w:val="0"/>
              <w:jc w:val="center"/>
              <w:rPr>
                <w:bCs/>
                <w:sz w:val="22"/>
                <w:szCs w:val="22"/>
                <w:lang w:eastAsia="uk-UA"/>
              </w:rPr>
            </w:pPr>
            <w:r w:rsidRPr="00EA17B7">
              <w:rPr>
                <w:bCs/>
                <w:sz w:val="22"/>
                <w:szCs w:val="22"/>
                <w:lang w:eastAsia="uk-UA"/>
              </w:rPr>
              <w:t>4</w:t>
            </w:r>
            <w:r w:rsidR="00861581">
              <w:rPr>
                <w:bCs/>
                <w:sz w:val="22"/>
                <w:szCs w:val="22"/>
                <w:lang w:eastAsia="uk-UA"/>
              </w:rPr>
              <w:t> 635,8</w:t>
            </w:r>
          </w:p>
          <w:p w:rsidR="000B1B98" w:rsidRPr="00EA17B7"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tcPr>
          <w:p w:rsidR="00B640A0" w:rsidRDefault="00B640A0">
            <w:pPr>
              <w:autoSpaceDE w:val="0"/>
              <w:autoSpaceDN w:val="0"/>
              <w:adjustRightInd w:val="0"/>
              <w:jc w:val="center"/>
              <w:rPr>
                <w:bCs/>
                <w:sz w:val="22"/>
                <w:szCs w:val="22"/>
                <w:lang w:eastAsia="uk-UA"/>
              </w:rPr>
            </w:pPr>
          </w:p>
          <w:p w:rsidR="00B640A0" w:rsidRDefault="00B640A0">
            <w:pPr>
              <w:autoSpaceDE w:val="0"/>
              <w:autoSpaceDN w:val="0"/>
              <w:adjustRightInd w:val="0"/>
              <w:jc w:val="center"/>
              <w:rPr>
                <w:bCs/>
                <w:sz w:val="22"/>
                <w:szCs w:val="22"/>
                <w:lang w:eastAsia="uk-UA"/>
              </w:rPr>
            </w:pPr>
          </w:p>
          <w:p w:rsidR="000B1B98" w:rsidRDefault="00B640A0">
            <w:pPr>
              <w:autoSpaceDE w:val="0"/>
              <w:autoSpaceDN w:val="0"/>
              <w:adjustRightInd w:val="0"/>
              <w:jc w:val="center"/>
              <w:rPr>
                <w:bCs/>
                <w:sz w:val="22"/>
                <w:szCs w:val="22"/>
                <w:lang w:eastAsia="uk-UA"/>
              </w:rPr>
            </w:pPr>
            <w:r>
              <w:rPr>
                <w:bCs/>
                <w:sz w:val="22"/>
                <w:szCs w:val="22"/>
                <w:lang w:eastAsia="uk-UA"/>
              </w:rPr>
              <w:t>4 </w:t>
            </w:r>
            <w:r w:rsidR="00861581">
              <w:rPr>
                <w:bCs/>
                <w:sz w:val="22"/>
                <w:szCs w:val="22"/>
                <w:lang w:eastAsia="uk-UA"/>
              </w:rPr>
              <w:t>820</w:t>
            </w:r>
            <w:r>
              <w:rPr>
                <w:bCs/>
                <w:sz w:val="22"/>
                <w:szCs w:val="22"/>
                <w:lang w:eastAsia="uk-UA"/>
              </w:rPr>
              <w:t>,0</w:t>
            </w:r>
          </w:p>
          <w:p w:rsidR="000B1B98"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tcPr>
          <w:p w:rsidR="00B640A0" w:rsidRDefault="00B640A0">
            <w:pPr>
              <w:autoSpaceDE w:val="0"/>
              <w:autoSpaceDN w:val="0"/>
              <w:adjustRightInd w:val="0"/>
              <w:jc w:val="center"/>
              <w:rPr>
                <w:bCs/>
                <w:sz w:val="22"/>
                <w:szCs w:val="22"/>
                <w:lang w:eastAsia="uk-UA"/>
              </w:rPr>
            </w:pPr>
          </w:p>
          <w:p w:rsidR="00B640A0" w:rsidRDefault="00B640A0">
            <w:pPr>
              <w:autoSpaceDE w:val="0"/>
              <w:autoSpaceDN w:val="0"/>
              <w:adjustRightInd w:val="0"/>
              <w:jc w:val="center"/>
              <w:rPr>
                <w:bCs/>
                <w:sz w:val="22"/>
                <w:szCs w:val="22"/>
                <w:lang w:eastAsia="uk-UA"/>
              </w:rPr>
            </w:pPr>
          </w:p>
          <w:p w:rsidR="000B1B98" w:rsidRDefault="00B640A0">
            <w:pPr>
              <w:autoSpaceDE w:val="0"/>
              <w:autoSpaceDN w:val="0"/>
              <w:adjustRightInd w:val="0"/>
              <w:jc w:val="center"/>
              <w:rPr>
                <w:bCs/>
                <w:sz w:val="22"/>
                <w:szCs w:val="22"/>
                <w:lang w:eastAsia="uk-UA"/>
              </w:rPr>
            </w:pPr>
            <w:r>
              <w:rPr>
                <w:bCs/>
                <w:sz w:val="22"/>
                <w:szCs w:val="22"/>
                <w:lang w:eastAsia="uk-UA"/>
              </w:rPr>
              <w:t>10</w:t>
            </w:r>
            <w:r w:rsidR="00861581">
              <w:rPr>
                <w:bCs/>
                <w:sz w:val="22"/>
                <w:szCs w:val="22"/>
                <w:lang w:eastAsia="uk-UA"/>
              </w:rPr>
              <w:t>4</w:t>
            </w:r>
            <w:r>
              <w:rPr>
                <w:bCs/>
                <w:sz w:val="22"/>
                <w:szCs w:val="22"/>
                <w:lang w:eastAsia="uk-UA"/>
              </w:rPr>
              <w:t>,</w:t>
            </w:r>
            <w:r w:rsidR="00861581">
              <w:rPr>
                <w:bCs/>
                <w:sz w:val="22"/>
                <w:szCs w:val="22"/>
                <w:lang w:eastAsia="uk-UA"/>
              </w:rPr>
              <w:t>0</w:t>
            </w:r>
            <w:r>
              <w:rPr>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Внутрішні податки на товари та послуги</w:t>
            </w:r>
          </w:p>
        </w:tc>
        <w:tc>
          <w:tcPr>
            <w:tcW w:w="1758" w:type="dxa"/>
            <w:tcBorders>
              <w:top w:val="single" w:sz="4" w:space="0" w:color="auto"/>
              <w:left w:val="single" w:sz="4" w:space="0" w:color="auto"/>
              <w:bottom w:val="single" w:sz="4" w:space="0" w:color="auto"/>
              <w:right w:val="single" w:sz="4" w:space="0" w:color="auto"/>
            </w:tcBorders>
            <w:hideMark/>
          </w:tcPr>
          <w:p w:rsidR="000B1B98" w:rsidRDefault="00861581">
            <w:pPr>
              <w:autoSpaceDE w:val="0"/>
              <w:autoSpaceDN w:val="0"/>
              <w:adjustRightInd w:val="0"/>
              <w:jc w:val="center"/>
              <w:rPr>
                <w:bCs/>
                <w:sz w:val="22"/>
                <w:szCs w:val="22"/>
                <w:lang w:eastAsia="uk-UA"/>
              </w:rPr>
            </w:pPr>
            <w:r>
              <w:rPr>
                <w:bCs/>
                <w:sz w:val="22"/>
                <w:szCs w:val="22"/>
                <w:lang w:eastAsia="uk-UA"/>
              </w:rPr>
              <w:t>9 446,0</w:t>
            </w:r>
          </w:p>
        </w:tc>
        <w:tc>
          <w:tcPr>
            <w:tcW w:w="1869" w:type="dxa"/>
            <w:tcBorders>
              <w:top w:val="single" w:sz="4" w:space="0" w:color="auto"/>
              <w:left w:val="single" w:sz="4" w:space="0" w:color="auto"/>
              <w:bottom w:val="single" w:sz="4" w:space="0" w:color="auto"/>
              <w:right w:val="single" w:sz="4" w:space="0" w:color="auto"/>
            </w:tcBorders>
          </w:tcPr>
          <w:p w:rsidR="000B1B98" w:rsidRPr="00EA17B7" w:rsidRDefault="00861581">
            <w:pPr>
              <w:autoSpaceDE w:val="0"/>
              <w:autoSpaceDN w:val="0"/>
              <w:adjustRightInd w:val="0"/>
              <w:jc w:val="center"/>
              <w:rPr>
                <w:bCs/>
                <w:sz w:val="22"/>
                <w:szCs w:val="22"/>
                <w:lang w:eastAsia="uk-UA"/>
              </w:rPr>
            </w:pPr>
            <w:r>
              <w:rPr>
                <w:bCs/>
                <w:sz w:val="22"/>
                <w:szCs w:val="22"/>
                <w:lang w:eastAsia="uk-UA"/>
              </w:rPr>
              <w:t>14 040,6</w:t>
            </w:r>
          </w:p>
          <w:p w:rsidR="000B1B98" w:rsidRPr="00EA17B7"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tcPr>
          <w:p w:rsidR="000B1B98" w:rsidRDefault="000B707E">
            <w:pPr>
              <w:autoSpaceDE w:val="0"/>
              <w:autoSpaceDN w:val="0"/>
              <w:adjustRightInd w:val="0"/>
              <w:jc w:val="center"/>
              <w:rPr>
                <w:bCs/>
                <w:sz w:val="22"/>
                <w:szCs w:val="22"/>
                <w:lang w:eastAsia="uk-UA"/>
              </w:rPr>
            </w:pPr>
            <w:r>
              <w:rPr>
                <w:bCs/>
                <w:sz w:val="22"/>
                <w:szCs w:val="22"/>
                <w:lang w:eastAsia="uk-UA"/>
              </w:rPr>
              <w:t>1</w:t>
            </w:r>
            <w:r w:rsidR="00861581">
              <w:rPr>
                <w:bCs/>
                <w:sz w:val="22"/>
                <w:szCs w:val="22"/>
                <w:lang w:eastAsia="uk-UA"/>
              </w:rPr>
              <w:t>6 600,0</w:t>
            </w:r>
          </w:p>
          <w:p w:rsidR="000B1B98"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hideMark/>
          </w:tcPr>
          <w:p w:rsidR="000B1B98" w:rsidRDefault="00861581">
            <w:pPr>
              <w:autoSpaceDE w:val="0"/>
              <w:autoSpaceDN w:val="0"/>
              <w:adjustRightInd w:val="0"/>
              <w:jc w:val="center"/>
              <w:rPr>
                <w:bCs/>
                <w:sz w:val="22"/>
                <w:szCs w:val="22"/>
                <w:lang w:eastAsia="uk-UA"/>
              </w:rPr>
            </w:pPr>
            <w:r>
              <w:rPr>
                <w:bCs/>
                <w:sz w:val="22"/>
                <w:szCs w:val="22"/>
                <w:lang w:eastAsia="uk-UA"/>
              </w:rPr>
              <w:t>118,2</w:t>
            </w:r>
            <w:r w:rsidR="0046643E">
              <w:rPr>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Місцеві податки та збори</w:t>
            </w:r>
          </w:p>
        </w:tc>
        <w:tc>
          <w:tcPr>
            <w:tcW w:w="1758" w:type="dxa"/>
            <w:tcBorders>
              <w:top w:val="single" w:sz="4" w:space="0" w:color="auto"/>
              <w:left w:val="single" w:sz="4" w:space="0" w:color="auto"/>
              <w:bottom w:val="single" w:sz="4" w:space="0" w:color="auto"/>
              <w:right w:val="single" w:sz="4" w:space="0" w:color="auto"/>
            </w:tcBorders>
            <w:hideMark/>
          </w:tcPr>
          <w:p w:rsidR="000B1B98" w:rsidRDefault="009A4417">
            <w:pPr>
              <w:autoSpaceDE w:val="0"/>
              <w:autoSpaceDN w:val="0"/>
              <w:adjustRightInd w:val="0"/>
              <w:jc w:val="center"/>
              <w:rPr>
                <w:bCs/>
                <w:sz w:val="22"/>
                <w:szCs w:val="22"/>
                <w:lang w:eastAsia="uk-UA"/>
              </w:rPr>
            </w:pPr>
            <w:r>
              <w:rPr>
                <w:bCs/>
                <w:sz w:val="22"/>
                <w:szCs w:val="22"/>
                <w:lang w:eastAsia="uk-UA"/>
              </w:rPr>
              <w:t>49</w:t>
            </w:r>
            <w:r w:rsidR="004F17A6">
              <w:rPr>
                <w:bCs/>
                <w:sz w:val="22"/>
                <w:szCs w:val="22"/>
                <w:lang w:eastAsia="uk-UA"/>
              </w:rPr>
              <w:t> 544,5</w:t>
            </w:r>
          </w:p>
        </w:tc>
        <w:tc>
          <w:tcPr>
            <w:tcW w:w="1869" w:type="dxa"/>
            <w:tcBorders>
              <w:top w:val="single" w:sz="4" w:space="0" w:color="auto"/>
              <w:left w:val="single" w:sz="4" w:space="0" w:color="auto"/>
              <w:bottom w:val="single" w:sz="4" w:space="0" w:color="auto"/>
              <w:right w:val="single" w:sz="4" w:space="0" w:color="auto"/>
            </w:tcBorders>
            <w:hideMark/>
          </w:tcPr>
          <w:p w:rsidR="000B1B98" w:rsidRPr="00EA17B7" w:rsidRDefault="004F17A6">
            <w:pPr>
              <w:autoSpaceDE w:val="0"/>
              <w:autoSpaceDN w:val="0"/>
              <w:adjustRightInd w:val="0"/>
              <w:jc w:val="center"/>
              <w:rPr>
                <w:bCs/>
                <w:sz w:val="22"/>
                <w:szCs w:val="22"/>
                <w:lang w:eastAsia="uk-UA"/>
              </w:rPr>
            </w:pPr>
            <w:r>
              <w:rPr>
                <w:bCs/>
                <w:sz w:val="22"/>
                <w:szCs w:val="22"/>
                <w:lang w:eastAsia="uk-UA"/>
              </w:rPr>
              <w:t>67 280,9</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4F17A6">
            <w:pPr>
              <w:autoSpaceDE w:val="0"/>
              <w:autoSpaceDN w:val="0"/>
              <w:adjustRightInd w:val="0"/>
              <w:jc w:val="center"/>
              <w:rPr>
                <w:bCs/>
                <w:sz w:val="22"/>
                <w:szCs w:val="22"/>
                <w:lang w:eastAsia="uk-UA"/>
              </w:rPr>
            </w:pPr>
            <w:r>
              <w:rPr>
                <w:bCs/>
                <w:sz w:val="22"/>
                <w:szCs w:val="22"/>
                <w:lang w:eastAsia="uk-UA"/>
              </w:rPr>
              <w:t>70 040,9</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4F17A6">
            <w:pPr>
              <w:autoSpaceDE w:val="0"/>
              <w:autoSpaceDN w:val="0"/>
              <w:adjustRightInd w:val="0"/>
              <w:jc w:val="center"/>
              <w:rPr>
                <w:bCs/>
                <w:sz w:val="22"/>
                <w:szCs w:val="22"/>
                <w:lang w:eastAsia="uk-UA"/>
              </w:rPr>
            </w:pPr>
            <w:r>
              <w:rPr>
                <w:bCs/>
                <w:sz w:val="22"/>
                <w:szCs w:val="22"/>
                <w:lang w:eastAsia="uk-UA"/>
              </w:rPr>
              <w:t>104,0%</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Доходи від власності та підприємницької діяльності</w:t>
            </w:r>
          </w:p>
        </w:tc>
        <w:tc>
          <w:tcPr>
            <w:tcW w:w="1758" w:type="dxa"/>
            <w:tcBorders>
              <w:top w:val="single" w:sz="4" w:space="0" w:color="auto"/>
              <w:left w:val="single" w:sz="4" w:space="0" w:color="auto"/>
              <w:bottom w:val="single" w:sz="4" w:space="0" w:color="auto"/>
              <w:right w:val="single" w:sz="4" w:space="0" w:color="auto"/>
            </w:tcBorders>
          </w:tcPr>
          <w:p w:rsidR="009A4417" w:rsidRDefault="009A4417">
            <w:pPr>
              <w:autoSpaceDE w:val="0"/>
              <w:autoSpaceDN w:val="0"/>
              <w:adjustRightInd w:val="0"/>
              <w:jc w:val="center"/>
              <w:rPr>
                <w:bCs/>
                <w:sz w:val="22"/>
                <w:szCs w:val="22"/>
                <w:lang w:eastAsia="uk-UA"/>
              </w:rPr>
            </w:pPr>
          </w:p>
          <w:p w:rsidR="000B1B98" w:rsidRDefault="001E2661">
            <w:pPr>
              <w:autoSpaceDE w:val="0"/>
              <w:autoSpaceDN w:val="0"/>
              <w:adjustRightInd w:val="0"/>
              <w:jc w:val="center"/>
              <w:rPr>
                <w:bCs/>
                <w:sz w:val="22"/>
                <w:szCs w:val="22"/>
                <w:lang w:eastAsia="uk-UA"/>
              </w:rPr>
            </w:pPr>
            <w:r>
              <w:rPr>
                <w:bCs/>
                <w:sz w:val="22"/>
                <w:szCs w:val="22"/>
                <w:lang w:eastAsia="uk-UA"/>
              </w:rPr>
              <w:t>95,1</w:t>
            </w:r>
          </w:p>
        </w:tc>
        <w:tc>
          <w:tcPr>
            <w:tcW w:w="1869" w:type="dxa"/>
            <w:tcBorders>
              <w:top w:val="single" w:sz="4" w:space="0" w:color="auto"/>
              <w:left w:val="single" w:sz="4" w:space="0" w:color="auto"/>
              <w:bottom w:val="single" w:sz="4" w:space="0" w:color="auto"/>
              <w:right w:val="single" w:sz="4" w:space="0" w:color="auto"/>
            </w:tcBorders>
          </w:tcPr>
          <w:p w:rsidR="000B1B98" w:rsidRPr="00EA17B7" w:rsidRDefault="000B1B98">
            <w:pPr>
              <w:autoSpaceDE w:val="0"/>
              <w:autoSpaceDN w:val="0"/>
              <w:adjustRightInd w:val="0"/>
              <w:jc w:val="center"/>
              <w:rPr>
                <w:bCs/>
                <w:sz w:val="22"/>
                <w:szCs w:val="22"/>
                <w:lang w:eastAsia="uk-UA"/>
              </w:rPr>
            </w:pPr>
          </w:p>
          <w:p w:rsidR="000B1B98" w:rsidRPr="00EA17B7" w:rsidRDefault="001E2661">
            <w:pPr>
              <w:autoSpaceDE w:val="0"/>
              <w:autoSpaceDN w:val="0"/>
              <w:adjustRightInd w:val="0"/>
              <w:jc w:val="center"/>
              <w:rPr>
                <w:bCs/>
                <w:sz w:val="22"/>
                <w:szCs w:val="22"/>
                <w:lang w:eastAsia="uk-UA"/>
              </w:rPr>
            </w:pPr>
            <w:r>
              <w:rPr>
                <w:bCs/>
                <w:sz w:val="22"/>
                <w:szCs w:val="22"/>
                <w:lang w:eastAsia="uk-UA"/>
              </w:rPr>
              <w:t>305,6</w:t>
            </w:r>
          </w:p>
          <w:p w:rsidR="000B1B98" w:rsidRPr="00EA17B7" w:rsidRDefault="000B1B98">
            <w:pPr>
              <w:autoSpaceDE w:val="0"/>
              <w:autoSpaceDN w:val="0"/>
              <w:adjustRightInd w:val="0"/>
              <w:jc w:val="center"/>
              <w:rPr>
                <w:bCs/>
                <w:sz w:val="22"/>
                <w:szCs w:val="22"/>
                <w:lang w:eastAsia="uk-UA"/>
              </w:rPr>
            </w:pPr>
          </w:p>
        </w:tc>
        <w:tc>
          <w:tcPr>
            <w:tcW w:w="1869" w:type="dxa"/>
            <w:tcBorders>
              <w:top w:val="single" w:sz="4" w:space="0" w:color="auto"/>
              <w:left w:val="single" w:sz="4" w:space="0" w:color="auto"/>
              <w:bottom w:val="single" w:sz="4" w:space="0" w:color="auto"/>
              <w:right w:val="single" w:sz="4" w:space="0" w:color="auto"/>
            </w:tcBorders>
          </w:tcPr>
          <w:p w:rsidR="000B1B98" w:rsidRDefault="000B1B98">
            <w:pPr>
              <w:autoSpaceDE w:val="0"/>
              <w:autoSpaceDN w:val="0"/>
              <w:adjustRightInd w:val="0"/>
              <w:jc w:val="center"/>
              <w:rPr>
                <w:bCs/>
                <w:sz w:val="22"/>
                <w:szCs w:val="22"/>
                <w:lang w:eastAsia="uk-UA"/>
              </w:rPr>
            </w:pPr>
          </w:p>
          <w:p w:rsidR="000B1B98" w:rsidRDefault="001E2661">
            <w:pPr>
              <w:autoSpaceDE w:val="0"/>
              <w:autoSpaceDN w:val="0"/>
              <w:adjustRightInd w:val="0"/>
              <w:jc w:val="center"/>
              <w:rPr>
                <w:bCs/>
                <w:sz w:val="22"/>
                <w:szCs w:val="22"/>
                <w:lang w:eastAsia="uk-UA"/>
              </w:rPr>
            </w:pPr>
            <w:r>
              <w:rPr>
                <w:bCs/>
                <w:sz w:val="22"/>
                <w:szCs w:val="22"/>
                <w:lang w:eastAsia="uk-UA"/>
              </w:rPr>
              <w:t>320</w:t>
            </w:r>
            <w:r w:rsidR="009A4417">
              <w:rPr>
                <w:bCs/>
                <w:sz w:val="22"/>
                <w:szCs w:val="22"/>
                <w:lang w:eastAsia="uk-UA"/>
              </w:rPr>
              <w:t>,0</w:t>
            </w:r>
          </w:p>
        </w:tc>
        <w:tc>
          <w:tcPr>
            <w:tcW w:w="1869" w:type="dxa"/>
            <w:tcBorders>
              <w:top w:val="single" w:sz="4" w:space="0" w:color="auto"/>
              <w:left w:val="single" w:sz="4" w:space="0" w:color="auto"/>
              <w:bottom w:val="single" w:sz="4" w:space="0" w:color="auto"/>
              <w:right w:val="single" w:sz="4" w:space="0" w:color="auto"/>
            </w:tcBorders>
          </w:tcPr>
          <w:p w:rsidR="000B1B98" w:rsidRDefault="000B1B98">
            <w:pPr>
              <w:autoSpaceDE w:val="0"/>
              <w:autoSpaceDN w:val="0"/>
              <w:adjustRightInd w:val="0"/>
              <w:jc w:val="center"/>
              <w:rPr>
                <w:bCs/>
                <w:sz w:val="22"/>
                <w:szCs w:val="22"/>
                <w:lang w:eastAsia="uk-UA"/>
              </w:rPr>
            </w:pPr>
          </w:p>
          <w:p w:rsidR="000B1B98" w:rsidRDefault="000B1B98">
            <w:pPr>
              <w:autoSpaceDE w:val="0"/>
              <w:autoSpaceDN w:val="0"/>
              <w:adjustRightInd w:val="0"/>
              <w:jc w:val="center"/>
              <w:rPr>
                <w:bCs/>
                <w:sz w:val="22"/>
                <w:szCs w:val="22"/>
                <w:lang w:eastAsia="uk-UA"/>
              </w:rPr>
            </w:pPr>
            <w:r>
              <w:rPr>
                <w:bCs/>
                <w:sz w:val="22"/>
                <w:szCs w:val="22"/>
                <w:lang w:eastAsia="uk-UA"/>
              </w:rPr>
              <w:t>1</w:t>
            </w:r>
            <w:r w:rsidR="009A4417">
              <w:rPr>
                <w:bCs/>
                <w:sz w:val="22"/>
                <w:szCs w:val="22"/>
                <w:lang w:eastAsia="uk-UA"/>
              </w:rPr>
              <w:t>0</w:t>
            </w:r>
            <w:r w:rsidR="001E2661">
              <w:rPr>
                <w:bCs/>
                <w:sz w:val="22"/>
                <w:szCs w:val="22"/>
                <w:lang w:eastAsia="uk-UA"/>
              </w:rPr>
              <w:t>4</w:t>
            </w:r>
            <w:r w:rsidR="009A4417">
              <w:rPr>
                <w:bCs/>
                <w:sz w:val="22"/>
                <w:szCs w:val="22"/>
                <w:lang w:eastAsia="uk-UA"/>
              </w:rPr>
              <w:t>,</w:t>
            </w:r>
            <w:r w:rsidR="001E2661">
              <w:rPr>
                <w:bCs/>
                <w:sz w:val="22"/>
                <w:szCs w:val="22"/>
                <w:lang w:eastAsia="uk-UA"/>
              </w:rPr>
              <w:t>7</w:t>
            </w:r>
            <w:r>
              <w:rPr>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Адміністративні збори та платежі</w:t>
            </w:r>
          </w:p>
        </w:tc>
        <w:tc>
          <w:tcPr>
            <w:tcW w:w="1758" w:type="dxa"/>
            <w:tcBorders>
              <w:top w:val="single" w:sz="4" w:space="0" w:color="auto"/>
              <w:left w:val="single" w:sz="4" w:space="0" w:color="auto"/>
              <w:bottom w:val="single" w:sz="4" w:space="0" w:color="auto"/>
              <w:right w:val="single" w:sz="4" w:space="0" w:color="auto"/>
            </w:tcBorders>
            <w:hideMark/>
          </w:tcPr>
          <w:p w:rsidR="000B1B98" w:rsidRDefault="001E2661">
            <w:pPr>
              <w:autoSpaceDE w:val="0"/>
              <w:autoSpaceDN w:val="0"/>
              <w:adjustRightInd w:val="0"/>
              <w:jc w:val="center"/>
              <w:rPr>
                <w:bCs/>
                <w:sz w:val="22"/>
                <w:szCs w:val="22"/>
                <w:lang w:eastAsia="uk-UA"/>
              </w:rPr>
            </w:pPr>
            <w:r>
              <w:rPr>
                <w:bCs/>
                <w:sz w:val="22"/>
                <w:szCs w:val="22"/>
                <w:lang w:eastAsia="uk-UA"/>
              </w:rPr>
              <w:t>2 002,0</w:t>
            </w:r>
          </w:p>
        </w:tc>
        <w:tc>
          <w:tcPr>
            <w:tcW w:w="1869" w:type="dxa"/>
            <w:tcBorders>
              <w:top w:val="single" w:sz="4" w:space="0" w:color="auto"/>
              <w:left w:val="single" w:sz="4" w:space="0" w:color="auto"/>
              <w:bottom w:val="single" w:sz="4" w:space="0" w:color="auto"/>
              <w:right w:val="single" w:sz="4" w:space="0" w:color="auto"/>
            </w:tcBorders>
            <w:hideMark/>
          </w:tcPr>
          <w:p w:rsidR="000B1B98" w:rsidRPr="00EA17B7" w:rsidRDefault="001E2661">
            <w:pPr>
              <w:autoSpaceDE w:val="0"/>
              <w:autoSpaceDN w:val="0"/>
              <w:adjustRightInd w:val="0"/>
              <w:jc w:val="center"/>
              <w:rPr>
                <w:bCs/>
                <w:sz w:val="22"/>
                <w:szCs w:val="22"/>
                <w:lang w:eastAsia="uk-UA"/>
              </w:rPr>
            </w:pPr>
            <w:r>
              <w:rPr>
                <w:bCs/>
                <w:sz w:val="22"/>
                <w:szCs w:val="22"/>
                <w:lang w:eastAsia="uk-UA"/>
              </w:rPr>
              <w:t>2 152,6</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1E2661">
            <w:pPr>
              <w:autoSpaceDE w:val="0"/>
              <w:autoSpaceDN w:val="0"/>
              <w:adjustRightInd w:val="0"/>
              <w:jc w:val="center"/>
              <w:rPr>
                <w:bCs/>
                <w:sz w:val="22"/>
                <w:szCs w:val="22"/>
                <w:lang w:eastAsia="uk-UA"/>
              </w:rPr>
            </w:pPr>
            <w:r>
              <w:rPr>
                <w:bCs/>
                <w:sz w:val="22"/>
                <w:szCs w:val="22"/>
                <w:lang w:eastAsia="uk-UA"/>
              </w:rPr>
              <w:t>2 305,5</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EA17B7">
            <w:pPr>
              <w:autoSpaceDE w:val="0"/>
              <w:autoSpaceDN w:val="0"/>
              <w:adjustRightInd w:val="0"/>
              <w:jc w:val="center"/>
              <w:rPr>
                <w:bCs/>
                <w:sz w:val="22"/>
                <w:szCs w:val="22"/>
                <w:lang w:eastAsia="uk-UA"/>
              </w:rPr>
            </w:pPr>
            <w:r>
              <w:rPr>
                <w:bCs/>
                <w:sz w:val="22"/>
                <w:szCs w:val="22"/>
                <w:lang w:eastAsia="uk-UA"/>
              </w:rPr>
              <w:t>1</w:t>
            </w:r>
            <w:r w:rsidR="001E2661">
              <w:rPr>
                <w:bCs/>
                <w:sz w:val="22"/>
                <w:szCs w:val="22"/>
                <w:lang w:eastAsia="uk-UA"/>
              </w:rPr>
              <w:t>07</w:t>
            </w:r>
            <w:r>
              <w:rPr>
                <w:bCs/>
                <w:sz w:val="22"/>
                <w:szCs w:val="22"/>
                <w:lang w:eastAsia="uk-UA"/>
              </w:rPr>
              <w:t>,</w:t>
            </w:r>
            <w:r w:rsidR="001E2661">
              <w:rPr>
                <w:bCs/>
                <w:sz w:val="22"/>
                <w:szCs w:val="22"/>
                <w:lang w:eastAsia="uk-UA"/>
              </w:rPr>
              <w:t>1</w:t>
            </w:r>
            <w:r>
              <w:rPr>
                <w:bCs/>
                <w:sz w:val="22"/>
                <w:szCs w:val="22"/>
                <w:lang w:eastAsia="uk-UA"/>
              </w:rPr>
              <w:t>%</w:t>
            </w:r>
          </w:p>
        </w:tc>
      </w:tr>
      <w:tr w:rsidR="000B1B98" w:rsidTr="000B1B98">
        <w:tc>
          <w:tcPr>
            <w:tcW w:w="1980" w:type="dxa"/>
            <w:tcBorders>
              <w:top w:val="single" w:sz="4" w:space="0" w:color="auto"/>
              <w:left w:val="single" w:sz="4" w:space="0" w:color="auto"/>
              <w:bottom w:val="single" w:sz="4" w:space="0" w:color="auto"/>
              <w:right w:val="single" w:sz="4" w:space="0" w:color="auto"/>
            </w:tcBorders>
            <w:hideMark/>
          </w:tcPr>
          <w:p w:rsidR="000B1B98" w:rsidRDefault="000B1B98">
            <w:pPr>
              <w:autoSpaceDE w:val="0"/>
              <w:autoSpaceDN w:val="0"/>
              <w:adjustRightInd w:val="0"/>
              <w:jc w:val="both"/>
              <w:rPr>
                <w:bCs/>
                <w:sz w:val="22"/>
                <w:szCs w:val="22"/>
                <w:lang w:eastAsia="uk-UA"/>
              </w:rPr>
            </w:pPr>
            <w:r>
              <w:rPr>
                <w:bCs/>
                <w:sz w:val="22"/>
                <w:szCs w:val="22"/>
                <w:lang w:eastAsia="uk-UA"/>
              </w:rPr>
              <w:t>Інші надходження</w:t>
            </w:r>
          </w:p>
        </w:tc>
        <w:tc>
          <w:tcPr>
            <w:tcW w:w="1758" w:type="dxa"/>
            <w:tcBorders>
              <w:top w:val="single" w:sz="4" w:space="0" w:color="auto"/>
              <w:left w:val="single" w:sz="4" w:space="0" w:color="auto"/>
              <w:bottom w:val="single" w:sz="4" w:space="0" w:color="auto"/>
              <w:right w:val="single" w:sz="4" w:space="0" w:color="auto"/>
            </w:tcBorders>
            <w:hideMark/>
          </w:tcPr>
          <w:p w:rsidR="000B1B98" w:rsidRDefault="001E2661">
            <w:pPr>
              <w:autoSpaceDE w:val="0"/>
              <w:autoSpaceDN w:val="0"/>
              <w:adjustRightInd w:val="0"/>
              <w:jc w:val="center"/>
              <w:rPr>
                <w:bCs/>
                <w:sz w:val="22"/>
                <w:szCs w:val="22"/>
                <w:lang w:eastAsia="uk-UA"/>
              </w:rPr>
            </w:pPr>
            <w:r>
              <w:rPr>
                <w:bCs/>
                <w:sz w:val="22"/>
                <w:szCs w:val="22"/>
                <w:lang w:eastAsia="uk-UA"/>
              </w:rPr>
              <w:t>322,3</w:t>
            </w:r>
          </w:p>
        </w:tc>
        <w:tc>
          <w:tcPr>
            <w:tcW w:w="1869" w:type="dxa"/>
            <w:tcBorders>
              <w:top w:val="single" w:sz="4" w:space="0" w:color="auto"/>
              <w:left w:val="single" w:sz="4" w:space="0" w:color="auto"/>
              <w:bottom w:val="single" w:sz="4" w:space="0" w:color="auto"/>
              <w:right w:val="single" w:sz="4" w:space="0" w:color="auto"/>
            </w:tcBorders>
            <w:hideMark/>
          </w:tcPr>
          <w:p w:rsidR="000B1B98" w:rsidRPr="00EA17B7" w:rsidRDefault="001E2661">
            <w:pPr>
              <w:autoSpaceDE w:val="0"/>
              <w:autoSpaceDN w:val="0"/>
              <w:adjustRightInd w:val="0"/>
              <w:jc w:val="center"/>
              <w:rPr>
                <w:bCs/>
                <w:sz w:val="22"/>
                <w:szCs w:val="22"/>
                <w:lang w:eastAsia="uk-UA"/>
              </w:rPr>
            </w:pPr>
            <w:r>
              <w:rPr>
                <w:bCs/>
                <w:sz w:val="22"/>
                <w:szCs w:val="22"/>
                <w:lang w:eastAsia="uk-UA"/>
              </w:rPr>
              <w:t>1 100,0</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1E2661">
            <w:pPr>
              <w:autoSpaceDE w:val="0"/>
              <w:autoSpaceDN w:val="0"/>
              <w:adjustRightInd w:val="0"/>
              <w:jc w:val="center"/>
              <w:rPr>
                <w:bCs/>
                <w:sz w:val="22"/>
                <w:szCs w:val="22"/>
                <w:lang w:eastAsia="uk-UA"/>
              </w:rPr>
            </w:pPr>
            <w:r>
              <w:rPr>
                <w:bCs/>
                <w:sz w:val="22"/>
                <w:szCs w:val="22"/>
                <w:lang w:eastAsia="uk-UA"/>
              </w:rPr>
              <w:t>660</w:t>
            </w:r>
            <w:r w:rsidR="009A4417">
              <w:rPr>
                <w:bCs/>
                <w:sz w:val="22"/>
                <w:szCs w:val="22"/>
                <w:lang w:eastAsia="uk-UA"/>
              </w:rPr>
              <w:t>,0</w:t>
            </w:r>
          </w:p>
        </w:tc>
        <w:tc>
          <w:tcPr>
            <w:tcW w:w="1869" w:type="dxa"/>
            <w:tcBorders>
              <w:top w:val="single" w:sz="4" w:space="0" w:color="auto"/>
              <w:left w:val="single" w:sz="4" w:space="0" w:color="auto"/>
              <w:bottom w:val="single" w:sz="4" w:space="0" w:color="auto"/>
              <w:right w:val="single" w:sz="4" w:space="0" w:color="auto"/>
            </w:tcBorders>
            <w:hideMark/>
          </w:tcPr>
          <w:p w:rsidR="000B1B98" w:rsidRDefault="001E2661">
            <w:pPr>
              <w:autoSpaceDE w:val="0"/>
              <w:autoSpaceDN w:val="0"/>
              <w:adjustRightInd w:val="0"/>
              <w:jc w:val="center"/>
              <w:rPr>
                <w:bCs/>
                <w:sz w:val="22"/>
                <w:szCs w:val="22"/>
                <w:lang w:eastAsia="uk-UA"/>
              </w:rPr>
            </w:pPr>
            <w:r>
              <w:rPr>
                <w:bCs/>
                <w:sz w:val="22"/>
                <w:szCs w:val="22"/>
                <w:lang w:eastAsia="uk-UA"/>
              </w:rPr>
              <w:t>0,60</w:t>
            </w:r>
            <w:r w:rsidR="009A4417">
              <w:rPr>
                <w:bCs/>
                <w:sz w:val="22"/>
                <w:szCs w:val="22"/>
                <w:lang w:eastAsia="uk-UA"/>
              </w:rPr>
              <w:t>%</w:t>
            </w:r>
          </w:p>
        </w:tc>
      </w:tr>
    </w:tbl>
    <w:p w:rsidR="000B1B98" w:rsidRDefault="000B1B98" w:rsidP="000B1B98">
      <w:pPr>
        <w:tabs>
          <w:tab w:val="left" w:pos="0"/>
        </w:tabs>
        <w:ind w:left="-142" w:firstLine="709"/>
        <w:jc w:val="both"/>
        <w:rPr>
          <w:szCs w:val="28"/>
        </w:rPr>
      </w:pPr>
    </w:p>
    <w:p w:rsidR="000B1B98" w:rsidRPr="00C546A7" w:rsidRDefault="000B1B98" w:rsidP="000B1B98">
      <w:pPr>
        <w:tabs>
          <w:tab w:val="left" w:pos="0"/>
        </w:tabs>
        <w:ind w:left="-142" w:firstLine="709"/>
        <w:jc w:val="both"/>
        <w:rPr>
          <w:szCs w:val="28"/>
        </w:rPr>
      </w:pPr>
      <w:r w:rsidRPr="00C546A7">
        <w:rPr>
          <w:szCs w:val="28"/>
        </w:rPr>
        <w:t xml:space="preserve">Власні доходи бюджету Тростянецької МТГ обраховано в сумі </w:t>
      </w:r>
      <w:r w:rsidR="00C546A7" w:rsidRPr="00C546A7">
        <w:rPr>
          <w:szCs w:val="28"/>
        </w:rPr>
        <w:t>241 114,3</w:t>
      </w:r>
      <w:r w:rsidRPr="00C546A7">
        <w:rPr>
          <w:szCs w:val="28"/>
        </w:rPr>
        <w:t xml:space="preserve"> тис. гривень, в тому числі:</w:t>
      </w:r>
    </w:p>
    <w:p w:rsidR="000B1B98" w:rsidRPr="00C546A7" w:rsidRDefault="000B1B98" w:rsidP="000B1B98">
      <w:pPr>
        <w:pStyle w:val="a5"/>
        <w:numPr>
          <w:ilvl w:val="0"/>
          <w:numId w:val="5"/>
        </w:numPr>
        <w:tabs>
          <w:tab w:val="left" w:pos="0"/>
        </w:tabs>
        <w:ind w:left="0" w:firstLine="720"/>
        <w:jc w:val="both"/>
        <w:rPr>
          <w:szCs w:val="28"/>
        </w:rPr>
      </w:pPr>
      <w:r w:rsidRPr="00C546A7">
        <w:rPr>
          <w:szCs w:val="28"/>
        </w:rPr>
        <w:t xml:space="preserve">загальний фонд – </w:t>
      </w:r>
      <w:r w:rsidR="001D33EC">
        <w:rPr>
          <w:szCs w:val="28"/>
        </w:rPr>
        <w:t>237 885,5</w:t>
      </w:r>
      <w:r w:rsidRPr="00C546A7">
        <w:rPr>
          <w:szCs w:val="28"/>
        </w:rPr>
        <w:t xml:space="preserve"> тис. гривень;</w:t>
      </w:r>
    </w:p>
    <w:p w:rsidR="000B1B98" w:rsidRPr="00BB42F3" w:rsidRDefault="000B1B98" w:rsidP="000B1B98">
      <w:pPr>
        <w:pStyle w:val="a5"/>
        <w:numPr>
          <w:ilvl w:val="0"/>
          <w:numId w:val="5"/>
        </w:numPr>
        <w:tabs>
          <w:tab w:val="left" w:pos="0"/>
        </w:tabs>
        <w:ind w:left="0" w:firstLine="720"/>
        <w:jc w:val="both"/>
        <w:rPr>
          <w:szCs w:val="28"/>
        </w:rPr>
      </w:pPr>
      <w:r w:rsidRPr="00BB42F3">
        <w:rPr>
          <w:szCs w:val="28"/>
        </w:rPr>
        <w:t xml:space="preserve">спеціальному фонду – </w:t>
      </w:r>
      <w:r w:rsidR="00BB42F3" w:rsidRPr="00BB42F3">
        <w:rPr>
          <w:szCs w:val="28"/>
        </w:rPr>
        <w:t>1 600,4</w:t>
      </w:r>
      <w:r w:rsidRPr="00BB42F3">
        <w:rPr>
          <w:szCs w:val="28"/>
        </w:rPr>
        <w:t xml:space="preserve"> тис. гривень.</w:t>
      </w:r>
    </w:p>
    <w:p w:rsidR="000B1B98" w:rsidRDefault="000B1B98" w:rsidP="000B1B98">
      <w:pPr>
        <w:tabs>
          <w:tab w:val="left" w:pos="0"/>
        </w:tabs>
        <w:jc w:val="center"/>
        <w:rPr>
          <w:b/>
          <w:szCs w:val="28"/>
        </w:rPr>
      </w:pPr>
    </w:p>
    <w:p w:rsidR="000B1B98" w:rsidRDefault="000B1B98" w:rsidP="000B1B98">
      <w:pPr>
        <w:tabs>
          <w:tab w:val="left" w:pos="0"/>
        </w:tabs>
        <w:rPr>
          <w:b/>
          <w:szCs w:val="28"/>
        </w:rPr>
      </w:pPr>
    </w:p>
    <w:p w:rsidR="000B1B98" w:rsidRDefault="000B1B98" w:rsidP="000B1B98">
      <w:pPr>
        <w:tabs>
          <w:tab w:val="left" w:pos="0"/>
        </w:tabs>
        <w:jc w:val="center"/>
        <w:rPr>
          <w:b/>
          <w:szCs w:val="28"/>
        </w:rPr>
      </w:pPr>
      <w:r>
        <w:rPr>
          <w:b/>
          <w:szCs w:val="28"/>
        </w:rPr>
        <w:t>ЗАГАЛЬНИЙ ФОНД</w:t>
      </w:r>
    </w:p>
    <w:p w:rsidR="000B1B98" w:rsidRDefault="000B1B98" w:rsidP="000B1B98">
      <w:pPr>
        <w:tabs>
          <w:tab w:val="left" w:pos="0"/>
        </w:tabs>
        <w:jc w:val="center"/>
        <w:rPr>
          <w:b/>
          <w:szCs w:val="28"/>
        </w:rPr>
      </w:pPr>
    </w:p>
    <w:p w:rsidR="000B1B98" w:rsidRDefault="000B1B98" w:rsidP="000B1B98">
      <w:pPr>
        <w:tabs>
          <w:tab w:val="left" w:pos="0"/>
        </w:tabs>
        <w:jc w:val="center"/>
        <w:rPr>
          <w:b/>
          <w:szCs w:val="28"/>
        </w:rPr>
      </w:pPr>
      <w:r>
        <w:rPr>
          <w:b/>
          <w:szCs w:val="28"/>
        </w:rPr>
        <w:t>«Податок на доходи фізичних осіб»</w:t>
      </w:r>
    </w:p>
    <w:p w:rsidR="000B1B98" w:rsidRDefault="000B1B98" w:rsidP="000B1B98">
      <w:pPr>
        <w:tabs>
          <w:tab w:val="left" w:pos="0"/>
        </w:tabs>
        <w:jc w:val="both"/>
        <w:rPr>
          <w:szCs w:val="28"/>
        </w:rPr>
      </w:pPr>
      <w:r>
        <w:rPr>
          <w:szCs w:val="28"/>
        </w:rPr>
        <w:tab/>
        <w:t xml:space="preserve">Основним джерелом надходжень загального фонду бюджету Тростянецької міської територіальної громади є податок на доходи фізичних осіб, що в структурі власних доходів займає </w:t>
      </w:r>
      <w:r w:rsidR="00FF19DC">
        <w:rPr>
          <w:szCs w:val="28"/>
        </w:rPr>
        <w:t>60,2</w:t>
      </w:r>
      <w:r>
        <w:rPr>
          <w:szCs w:val="28"/>
        </w:rPr>
        <w:t xml:space="preserve">%. </w:t>
      </w:r>
    </w:p>
    <w:p w:rsidR="000B1B98" w:rsidRDefault="000B1B98" w:rsidP="000B1B98">
      <w:pPr>
        <w:tabs>
          <w:tab w:val="left" w:pos="709"/>
        </w:tabs>
        <w:jc w:val="both"/>
        <w:rPr>
          <w:bCs/>
        </w:rPr>
      </w:pPr>
      <w:r>
        <w:rPr>
          <w:bCs/>
          <w:szCs w:val="28"/>
        </w:rPr>
        <w:tab/>
        <w:t>При обрахунку були враховані норми Розділу IV «Податок на доходи фізичних осіб» Податкового кодексу України, які впливають на надходження податку на доходи фізичних осіб, а саме:</w:t>
      </w:r>
    </w:p>
    <w:p w:rsidR="000B1B98" w:rsidRDefault="000B1B98" w:rsidP="000B1B98">
      <w:pPr>
        <w:ind w:firstLine="709"/>
        <w:jc w:val="both"/>
        <w:rPr>
          <w:bCs/>
        </w:rPr>
      </w:pPr>
      <w:r>
        <w:rPr>
          <w:bCs/>
          <w:i/>
          <w:szCs w:val="28"/>
        </w:rPr>
        <w:t>-  застосування єдиної ставки (18 %)</w:t>
      </w:r>
      <w:r>
        <w:rPr>
          <w:bCs/>
          <w:szCs w:val="28"/>
        </w:rPr>
        <w:t xml:space="preserve"> оподаткування доходів фізичних осіб;</w:t>
      </w:r>
    </w:p>
    <w:p w:rsidR="000B1B98" w:rsidRDefault="000B1B98" w:rsidP="000B1B98">
      <w:pPr>
        <w:ind w:firstLine="709"/>
        <w:jc w:val="both"/>
        <w:rPr>
          <w:bCs/>
          <w:i/>
        </w:rPr>
      </w:pPr>
      <w:r>
        <w:rPr>
          <w:bCs/>
          <w:i/>
          <w:szCs w:val="28"/>
        </w:rPr>
        <w:t>- зростання основних державних соціальних стандартів та гарантій, зокрема:</w:t>
      </w:r>
    </w:p>
    <w:p w:rsidR="000B1B98" w:rsidRDefault="000B1B98" w:rsidP="000B1B98">
      <w:pPr>
        <w:ind w:firstLine="709"/>
        <w:jc w:val="both"/>
        <w:rPr>
          <w:bCs/>
          <w:szCs w:val="28"/>
        </w:rPr>
      </w:pPr>
      <w:r>
        <w:rPr>
          <w:bCs/>
          <w:szCs w:val="28"/>
        </w:rPr>
        <w:lastRenderedPageBreak/>
        <w:t>3.2.1. Мінімальної заробітної плати:</w:t>
      </w:r>
    </w:p>
    <w:p w:rsidR="000B1B98" w:rsidRDefault="000B1B98" w:rsidP="000B1B98">
      <w:pPr>
        <w:ind w:firstLine="709"/>
        <w:jc w:val="center"/>
        <w:rPr>
          <w:bCs/>
          <w:sz w:val="14"/>
          <w:szCs w:val="28"/>
        </w:rPr>
      </w:pPr>
    </w:p>
    <w:tbl>
      <w:tblPr>
        <w:tblW w:w="9498" w:type="dxa"/>
        <w:tblInd w:w="-5" w:type="dxa"/>
        <w:tblLayout w:type="fixed"/>
        <w:tblLook w:val="04A0" w:firstRow="1" w:lastRow="0" w:firstColumn="1" w:lastColumn="0" w:noHBand="0" w:noVBand="1"/>
      </w:tblPr>
      <w:tblGrid>
        <w:gridCol w:w="4536"/>
        <w:gridCol w:w="1418"/>
        <w:gridCol w:w="1701"/>
        <w:gridCol w:w="1843"/>
      </w:tblGrid>
      <w:tr w:rsidR="00C84DDA" w:rsidTr="00C84DDA">
        <w:trPr>
          <w:tblHeader/>
        </w:trPr>
        <w:tc>
          <w:tcPr>
            <w:tcW w:w="4536" w:type="dxa"/>
            <w:tcBorders>
              <w:top w:val="single" w:sz="4" w:space="0" w:color="auto"/>
              <w:left w:val="single" w:sz="4" w:space="0" w:color="auto"/>
              <w:bottom w:val="single" w:sz="4" w:space="0" w:color="auto"/>
              <w:right w:val="single" w:sz="4" w:space="0" w:color="auto"/>
            </w:tcBorders>
            <w:hideMark/>
          </w:tcPr>
          <w:p w:rsidR="00C84DDA" w:rsidRDefault="00C84DDA">
            <w:pPr>
              <w:spacing w:line="256" w:lineRule="auto"/>
              <w:jc w:val="center"/>
              <w:rPr>
                <w:sz w:val="24"/>
                <w:lang w:eastAsia="en-US"/>
              </w:rPr>
            </w:pPr>
            <w:r>
              <w:rPr>
                <w:b/>
                <w:bCs/>
                <w:sz w:val="24"/>
                <w:lang w:eastAsia="en-US"/>
              </w:rPr>
              <w:t>Показники</w:t>
            </w:r>
          </w:p>
        </w:tc>
        <w:tc>
          <w:tcPr>
            <w:tcW w:w="1418" w:type="dxa"/>
            <w:tcBorders>
              <w:top w:val="single" w:sz="4" w:space="0" w:color="auto"/>
              <w:left w:val="single" w:sz="4" w:space="0" w:color="auto"/>
              <w:bottom w:val="single" w:sz="4" w:space="0" w:color="auto"/>
              <w:right w:val="single" w:sz="4" w:space="0" w:color="auto"/>
            </w:tcBorders>
            <w:hideMark/>
          </w:tcPr>
          <w:p w:rsidR="00C84DDA" w:rsidRDefault="00C84DDA">
            <w:pPr>
              <w:spacing w:line="256" w:lineRule="auto"/>
              <w:jc w:val="center"/>
              <w:rPr>
                <w:sz w:val="24"/>
                <w:lang w:eastAsia="en-US"/>
              </w:rPr>
            </w:pPr>
            <w:r>
              <w:rPr>
                <w:b/>
                <w:bCs/>
                <w:sz w:val="24"/>
                <w:lang w:eastAsia="en-US"/>
              </w:rPr>
              <w:t>202</w:t>
            </w:r>
            <w:r w:rsidR="008400D9">
              <w:rPr>
                <w:b/>
                <w:bCs/>
                <w:sz w:val="24"/>
                <w:lang w:eastAsia="en-US"/>
              </w:rPr>
              <w:t>3</w:t>
            </w:r>
            <w:r>
              <w:rPr>
                <w:b/>
                <w:bCs/>
                <w:sz w:val="24"/>
                <w:lang w:eastAsia="en-US"/>
              </w:rPr>
              <w:t xml:space="preserve"> рік</w:t>
            </w:r>
          </w:p>
        </w:tc>
        <w:tc>
          <w:tcPr>
            <w:tcW w:w="1701" w:type="dxa"/>
            <w:tcBorders>
              <w:top w:val="single" w:sz="4" w:space="0" w:color="auto"/>
              <w:left w:val="single" w:sz="4" w:space="0" w:color="auto"/>
              <w:bottom w:val="single" w:sz="4" w:space="0" w:color="auto"/>
              <w:right w:val="single" w:sz="4" w:space="0" w:color="auto"/>
            </w:tcBorders>
            <w:hideMark/>
          </w:tcPr>
          <w:p w:rsidR="00C84DDA" w:rsidRDefault="00C84DDA">
            <w:pPr>
              <w:spacing w:line="256" w:lineRule="auto"/>
              <w:jc w:val="center"/>
              <w:rPr>
                <w:sz w:val="24"/>
                <w:lang w:eastAsia="en-US"/>
              </w:rPr>
            </w:pPr>
            <w:r>
              <w:rPr>
                <w:b/>
                <w:bCs/>
                <w:sz w:val="24"/>
                <w:lang w:eastAsia="en-US"/>
              </w:rPr>
              <w:t>202</w:t>
            </w:r>
            <w:r w:rsidR="008400D9">
              <w:rPr>
                <w:b/>
                <w:bCs/>
                <w:sz w:val="24"/>
                <w:lang w:eastAsia="en-US"/>
              </w:rPr>
              <w:t>4</w:t>
            </w:r>
            <w:r>
              <w:rPr>
                <w:b/>
                <w:bCs/>
                <w:sz w:val="24"/>
                <w:lang w:eastAsia="en-US"/>
              </w:rPr>
              <w:t xml:space="preserve"> рік</w:t>
            </w:r>
          </w:p>
        </w:tc>
        <w:tc>
          <w:tcPr>
            <w:tcW w:w="1843" w:type="dxa"/>
            <w:tcBorders>
              <w:top w:val="single" w:sz="4" w:space="0" w:color="auto"/>
              <w:left w:val="single" w:sz="4" w:space="0" w:color="auto"/>
              <w:bottom w:val="single" w:sz="4" w:space="0" w:color="auto"/>
              <w:right w:val="single" w:sz="4" w:space="0" w:color="auto"/>
            </w:tcBorders>
            <w:hideMark/>
          </w:tcPr>
          <w:p w:rsidR="00C84DDA" w:rsidRDefault="00C84DDA">
            <w:pPr>
              <w:spacing w:line="256" w:lineRule="auto"/>
              <w:jc w:val="center"/>
              <w:rPr>
                <w:sz w:val="24"/>
                <w:lang w:eastAsia="en-US"/>
              </w:rPr>
            </w:pPr>
            <w:r>
              <w:rPr>
                <w:b/>
                <w:bCs/>
                <w:sz w:val="24"/>
                <w:lang w:eastAsia="en-US"/>
              </w:rPr>
              <w:t>202</w:t>
            </w:r>
            <w:r w:rsidR="008400D9">
              <w:rPr>
                <w:b/>
                <w:bCs/>
                <w:sz w:val="24"/>
                <w:lang w:eastAsia="en-US"/>
              </w:rPr>
              <w:t>5</w:t>
            </w:r>
            <w:r>
              <w:rPr>
                <w:b/>
                <w:bCs/>
                <w:sz w:val="24"/>
                <w:lang w:eastAsia="en-US"/>
              </w:rPr>
              <w:t xml:space="preserve"> рік</w:t>
            </w:r>
          </w:p>
        </w:tc>
      </w:tr>
      <w:tr w:rsidR="000B1B98" w:rsidTr="00C84DDA">
        <w:tc>
          <w:tcPr>
            <w:tcW w:w="9498" w:type="dxa"/>
            <w:gridSpan w:val="4"/>
            <w:tcBorders>
              <w:top w:val="single" w:sz="4" w:space="0" w:color="auto"/>
              <w:left w:val="single" w:sz="4" w:space="0" w:color="auto"/>
              <w:bottom w:val="single" w:sz="4" w:space="0" w:color="auto"/>
              <w:right w:val="single" w:sz="4" w:space="0" w:color="auto"/>
            </w:tcBorders>
            <w:hideMark/>
          </w:tcPr>
          <w:p w:rsidR="000B1B98" w:rsidRDefault="000B1B98">
            <w:pPr>
              <w:spacing w:line="256" w:lineRule="auto"/>
              <w:jc w:val="center"/>
              <w:rPr>
                <w:sz w:val="24"/>
                <w:lang w:eastAsia="en-US"/>
              </w:rPr>
            </w:pPr>
            <w:r>
              <w:rPr>
                <w:b/>
                <w:bCs/>
                <w:sz w:val="24"/>
                <w:lang w:eastAsia="en-US"/>
              </w:rPr>
              <w:t>Розмір мінімальної заробітної плати</w:t>
            </w:r>
          </w:p>
        </w:tc>
      </w:tr>
      <w:tr w:rsidR="00C84DDA" w:rsidTr="00C84DDA">
        <w:tc>
          <w:tcPr>
            <w:tcW w:w="4536" w:type="dxa"/>
            <w:tcBorders>
              <w:top w:val="single" w:sz="4" w:space="0" w:color="auto"/>
              <w:left w:val="single" w:sz="4" w:space="0" w:color="auto"/>
              <w:bottom w:val="single" w:sz="4" w:space="0" w:color="auto"/>
              <w:right w:val="single" w:sz="4" w:space="0" w:color="auto"/>
            </w:tcBorders>
            <w:hideMark/>
          </w:tcPr>
          <w:p w:rsidR="00C84DDA" w:rsidRDefault="00C84DDA" w:rsidP="0093115D">
            <w:pPr>
              <w:spacing w:line="256" w:lineRule="auto"/>
              <w:jc w:val="both"/>
              <w:rPr>
                <w:sz w:val="24"/>
                <w:lang w:eastAsia="en-US"/>
              </w:rPr>
            </w:pPr>
            <w:r>
              <w:rPr>
                <w:bCs/>
                <w:sz w:val="24"/>
                <w:lang w:eastAsia="en-US"/>
              </w:rPr>
              <w:t>З 1 січня року (грн)</w:t>
            </w:r>
          </w:p>
        </w:tc>
        <w:tc>
          <w:tcPr>
            <w:tcW w:w="1418" w:type="dxa"/>
            <w:tcBorders>
              <w:top w:val="single" w:sz="4" w:space="0" w:color="auto"/>
              <w:left w:val="single" w:sz="4" w:space="0" w:color="auto"/>
              <w:bottom w:val="single" w:sz="4" w:space="0" w:color="auto"/>
              <w:right w:val="single" w:sz="4" w:space="0" w:color="auto"/>
            </w:tcBorders>
            <w:hideMark/>
          </w:tcPr>
          <w:p w:rsidR="00C84DDA" w:rsidRDefault="00C84DDA" w:rsidP="0093115D">
            <w:pPr>
              <w:spacing w:line="256" w:lineRule="auto"/>
              <w:jc w:val="center"/>
              <w:rPr>
                <w:sz w:val="24"/>
                <w:lang w:eastAsia="en-US"/>
              </w:rPr>
            </w:pPr>
            <w:r>
              <w:rPr>
                <w:bCs/>
                <w:sz w:val="24"/>
                <w:lang w:eastAsia="en-US"/>
              </w:rPr>
              <w:t>6</w:t>
            </w:r>
            <w:r w:rsidR="008400D9">
              <w:rPr>
                <w:bCs/>
                <w:sz w:val="24"/>
                <w:lang w:eastAsia="en-US"/>
              </w:rPr>
              <w:t xml:space="preserve"> 700</w:t>
            </w:r>
          </w:p>
        </w:tc>
        <w:tc>
          <w:tcPr>
            <w:tcW w:w="1701" w:type="dxa"/>
            <w:tcBorders>
              <w:top w:val="single" w:sz="4" w:space="0" w:color="auto"/>
              <w:left w:val="single" w:sz="4" w:space="0" w:color="auto"/>
              <w:bottom w:val="single" w:sz="4" w:space="0" w:color="auto"/>
              <w:right w:val="single" w:sz="4" w:space="0" w:color="auto"/>
            </w:tcBorders>
            <w:hideMark/>
          </w:tcPr>
          <w:p w:rsidR="00C84DDA" w:rsidRDefault="008400D9" w:rsidP="0093115D">
            <w:pPr>
              <w:spacing w:line="256" w:lineRule="auto"/>
              <w:jc w:val="center"/>
              <w:rPr>
                <w:sz w:val="24"/>
                <w:lang w:eastAsia="en-US"/>
              </w:rPr>
            </w:pPr>
            <w:r>
              <w:rPr>
                <w:bCs/>
                <w:sz w:val="24"/>
                <w:lang w:eastAsia="en-US"/>
              </w:rPr>
              <w:t>7 100</w:t>
            </w:r>
          </w:p>
        </w:tc>
        <w:tc>
          <w:tcPr>
            <w:tcW w:w="1843" w:type="dxa"/>
            <w:tcBorders>
              <w:top w:val="single" w:sz="4" w:space="0" w:color="auto"/>
              <w:left w:val="single" w:sz="4" w:space="0" w:color="auto"/>
              <w:bottom w:val="single" w:sz="4" w:space="0" w:color="auto"/>
              <w:right w:val="single" w:sz="4" w:space="0" w:color="auto"/>
            </w:tcBorders>
            <w:hideMark/>
          </w:tcPr>
          <w:p w:rsidR="00C84DDA" w:rsidRDefault="008400D9" w:rsidP="0093115D">
            <w:pPr>
              <w:spacing w:line="256" w:lineRule="auto"/>
              <w:jc w:val="center"/>
              <w:rPr>
                <w:sz w:val="24"/>
                <w:lang w:eastAsia="en-US"/>
              </w:rPr>
            </w:pPr>
            <w:r>
              <w:rPr>
                <w:sz w:val="24"/>
                <w:lang w:eastAsia="en-US"/>
              </w:rPr>
              <w:t>8 000</w:t>
            </w:r>
            <w:r w:rsidR="00C84DDA">
              <w:rPr>
                <w:sz w:val="24"/>
                <w:lang w:eastAsia="en-US"/>
              </w:rPr>
              <w:t xml:space="preserve"> </w:t>
            </w:r>
          </w:p>
        </w:tc>
      </w:tr>
      <w:tr w:rsidR="00C84DDA" w:rsidTr="00C84DDA">
        <w:tc>
          <w:tcPr>
            <w:tcW w:w="4536" w:type="dxa"/>
            <w:tcBorders>
              <w:top w:val="single" w:sz="4" w:space="0" w:color="auto"/>
              <w:left w:val="single" w:sz="4" w:space="0" w:color="auto"/>
              <w:bottom w:val="single" w:sz="4" w:space="0" w:color="auto"/>
              <w:right w:val="single" w:sz="4" w:space="0" w:color="auto"/>
            </w:tcBorders>
            <w:hideMark/>
          </w:tcPr>
          <w:p w:rsidR="00C84DDA" w:rsidRDefault="00C84DDA" w:rsidP="0093115D">
            <w:pPr>
              <w:spacing w:line="256" w:lineRule="auto"/>
              <w:jc w:val="both"/>
              <w:rPr>
                <w:bCs/>
                <w:sz w:val="24"/>
                <w:lang w:eastAsia="en-US"/>
              </w:rPr>
            </w:pPr>
            <w:r>
              <w:rPr>
                <w:sz w:val="24"/>
                <w:lang w:eastAsia="en-US"/>
              </w:rPr>
              <w:t>З 1 квітня року (грн)</w:t>
            </w:r>
          </w:p>
        </w:tc>
        <w:tc>
          <w:tcPr>
            <w:tcW w:w="1418" w:type="dxa"/>
            <w:tcBorders>
              <w:top w:val="single" w:sz="4" w:space="0" w:color="auto"/>
              <w:left w:val="single" w:sz="4" w:space="0" w:color="auto"/>
              <w:bottom w:val="single" w:sz="4" w:space="0" w:color="auto"/>
              <w:right w:val="single" w:sz="4" w:space="0" w:color="auto"/>
            </w:tcBorders>
            <w:hideMark/>
          </w:tcPr>
          <w:p w:rsidR="00C84DDA" w:rsidRDefault="00C84DDA" w:rsidP="0093115D">
            <w:pPr>
              <w:spacing w:line="256" w:lineRule="auto"/>
              <w:jc w:val="center"/>
              <w:rPr>
                <w:bCs/>
                <w:sz w:val="24"/>
                <w:lang w:eastAsia="en-US"/>
              </w:rPr>
            </w:pPr>
            <w:r>
              <w:rPr>
                <w:bCs/>
                <w:sz w:val="24"/>
                <w:lang w:eastAsia="en-US"/>
              </w:rPr>
              <w:t>х</w:t>
            </w:r>
          </w:p>
        </w:tc>
        <w:tc>
          <w:tcPr>
            <w:tcW w:w="1701" w:type="dxa"/>
            <w:tcBorders>
              <w:top w:val="single" w:sz="4" w:space="0" w:color="auto"/>
              <w:left w:val="single" w:sz="4" w:space="0" w:color="auto"/>
              <w:bottom w:val="single" w:sz="4" w:space="0" w:color="auto"/>
              <w:right w:val="single" w:sz="4" w:space="0" w:color="auto"/>
            </w:tcBorders>
            <w:hideMark/>
          </w:tcPr>
          <w:p w:rsidR="00C84DDA" w:rsidRDefault="008400D9" w:rsidP="0093115D">
            <w:pPr>
              <w:spacing w:line="256" w:lineRule="auto"/>
              <w:jc w:val="center"/>
              <w:rPr>
                <w:bCs/>
                <w:sz w:val="24"/>
                <w:lang w:eastAsia="en-US"/>
              </w:rPr>
            </w:pPr>
            <w:r>
              <w:rPr>
                <w:bCs/>
                <w:sz w:val="24"/>
                <w:lang w:eastAsia="en-US"/>
              </w:rPr>
              <w:t>8 000</w:t>
            </w:r>
          </w:p>
        </w:tc>
        <w:tc>
          <w:tcPr>
            <w:tcW w:w="1843" w:type="dxa"/>
            <w:tcBorders>
              <w:top w:val="single" w:sz="4" w:space="0" w:color="auto"/>
              <w:left w:val="single" w:sz="4" w:space="0" w:color="auto"/>
              <w:bottom w:val="single" w:sz="4" w:space="0" w:color="auto"/>
              <w:right w:val="single" w:sz="4" w:space="0" w:color="auto"/>
            </w:tcBorders>
            <w:hideMark/>
          </w:tcPr>
          <w:p w:rsidR="00C84DDA" w:rsidRDefault="008400D9" w:rsidP="0093115D">
            <w:pPr>
              <w:spacing w:line="256" w:lineRule="auto"/>
              <w:jc w:val="center"/>
              <w:rPr>
                <w:sz w:val="24"/>
                <w:lang w:eastAsia="en-US"/>
              </w:rPr>
            </w:pPr>
            <w:r>
              <w:rPr>
                <w:sz w:val="24"/>
                <w:lang w:eastAsia="en-US"/>
              </w:rPr>
              <w:t>х</w:t>
            </w:r>
          </w:p>
        </w:tc>
      </w:tr>
    </w:tbl>
    <w:p w:rsidR="000B1B98" w:rsidRDefault="000B1B98" w:rsidP="000B1B98">
      <w:pPr>
        <w:ind w:left="430" w:hanging="430"/>
        <w:jc w:val="center"/>
        <w:rPr>
          <w:b/>
          <w:bCs/>
          <w:sz w:val="14"/>
          <w:szCs w:val="28"/>
          <w:lang w:eastAsia="en-US"/>
        </w:rPr>
      </w:pPr>
    </w:p>
    <w:p w:rsidR="000B1B98" w:rsidRDefault="000B1B98" w:rsidP="000B1B98">
      <w:pPr>
        <w:ind w:firstLine="709"/>
        <w:jc w:val="both"/>
        <w:rPr>
          <w:bCs/>
          <w:szCs w:val="28"/>
        </w:rPr>
      </w:pPr>
      <w:r>
        <w:rPr>
          <w:bCs/>
          <w:szCs w:val="28"/>
        </w:rPr>
        <w:t>3.2.2. Прожиткового мінімуму для працездатних осіб та посадового окладу працівника І тарифного розряду Єдиної тарифної сітки:</w:t>
      </w:r>
    </w:p>
    <w:p w:rsidR="000B1B98" w:rsidRDefault="000B1B98" w:rsidP="000B1B98">
      <w:pPr>
        <w:ind w:firstLine="709"/>
        <w:jc w:val="both"/>
        <w:rPr>
          <w:bCs/>
          <w:sz w:val="14"/>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59"/>
        <w:gridCol w:w="1701"/>
        <w:gridCol w:w="1843"/>
      </w:tblGrid>
      <w:tr w:rsidR="00190CDB" w:rsidTr="00190CDB">
        <w:trPr>
          <w:tblHeader/>
        </w:trPr>
        <w:tc>
          <w:tcPr>
            <w:tcW w:w="4395" w:type="dxa"/>
            <w:hideMark/>
          </w:tcPr>
          <w:p w:rsidR="00190CDB" w:rsidRDefault="00190CDB">
            <w:pPr>
              <w:spacing w:line="256" w:lineRule="auto"/>
              <w:jc w:val="center"/>
              <w:rPr>
                <w:sz w:val="24"/>
                <w:lang w:eastAsia="en-US"/>
              </w:rPr>
            </w:pPr>
            <w:r>
              <w:rPr>
                <w:b/>
                <w:bCs/>
                <w:sz w:val="24"/>
                <w:lang w:eastAsia="en-US"/>
              </w:rPr>
              <w:t>Показники</w:t>
            </w:r>
          </w:p>
        </w:tc>
        <w:tc>
          <w:tcPr>
            <w:tcW w:w="1559" w:type="dxa"/>
            <w:hideMark/>
          </w:tcPr>
          <w:p w:rsidR="00190CDB" w:rsidRDefault="00190CDB">
            <w:pPr>
              <w:spacing w:line="256" w:lineRule="auto"/>
              <w:jc w:val="center"/>
              <w:rPr>
                <w:sz w:val="24"/>
                <w:lang w:eastAsia="en-US"/>
              </w:rPr>
            </w:pPr>
            <w:r>
              <w:rPr>
                <w:b/>
                <w:bCs/>
                <w:sz w:val="24"/>
                <w:lang w:eastAsia="en-US"/>
              </w:rPr>
              <w:t>2023 рік</w:t>
            </w:r>
          </w:p>
        </w:tc>
        <w:tc>
          <w:tcPr>
            <w:tcW w:w="1701" w:type="dxa"/>
            <w:hideMark/>
          </w:tcPr>
          <w:p w:rsidR="00190CDB" w:rsidRDefault="00190CDB">
            <w:pPr>
              <w:spacing w:line="256" w:lineRule="auto"/>
              <w:jc w:val="center"/>
              <w:rPr>
                <w:sz w:val="24"/>
                <w:lang w:eastAsia="en-US"/>
              </w:rPr>
            </w:pPr>
            <w:r>
              <w:rPr>
                <w:b/>
                <w:bCs/>
                <w:sz w:val="24"/>
                <w:lang w:eastAsia="en-US"/>
              </w:rPr>
              <w:t>2024 рік</w:t>
            </w:r>
          </w:p>
        </w:tc>
        <w:tc>
          <w:tcPr>
            <w:tcW w:w="1843" w:type="dxa"/>
            <w:hideMark/>
          </w:tcPr>
          <w:p w:rsidR="00190CDB" w:rsidRDefault="00190CDB">
            <w:pPr>
              <w:spacing w:line="256" w:lineRule="auto"/>
              <w:jc w:val="center"/>
              <w:rPr>
                <w:sz w:val="24"/>
                <w:lang w:eastAsia="en-US"/>
              </w:rPr>
            </w:pPr>
            <w:r>
              <w:rPr>
                <w:b/>
                <w:bCs/>
                <w:sz w:val="24"/>
                <w:lang w:eastAsia="en-US"/>
              </w:rPr>
              <w:t>2025 рік</w:t>
            </w:r>
          </w:p>
        </w:tc>
      </w:tr>
      <w:tr w:rsidR="00190CDB" w:rsidTr="00190CDB">
        <w:tc>
          <w:tcPr>
            <w:tcW w:w="4395" w:type="dxa"/>
            <w:hideMark/>
          </w:tcPr>
          <w:p w:rsidR="00190CDB" w:rsidRDefault="00190CDB" w:rsidP="00190CDB">
            <w:pPr>
              <w:spacing w:line="256" w:lineRule="auto"/>
              <w:jc w:val="both"/>
              <w:rPr>
                <w:sz w:val="24"/>
                <w:lang w:eastAsia="en-US"/>
              </w:rPr>
            </w:pPr>
            <w:r>
              <w:rPr>
                <w:bCs/>
                <w:sz w:val="24"/>
                <w:lang w:eastAsia="en-US"/>
              </w:rPr>
              <w:t>З 1 січня року (грн)</w:t>
            </w:r>
          </w:p>
        </w:tc>
        <w:tc>
          <w:tcPr>
            <w:tcW w:w="1559" w:type="dxa"/>
            <w:hideMark/>
          </w:tcPr>
          <w:p w:rsidR="00190CDB" w:rsidRDefault="00190CDB" w:rsidP="00190CDB">
            <w:pPr>
              <w:spacing w:line="256" w:lineRule="auto"/>
              <w:jc w:val="center"/>
              <w:rPr>
                <w:sz w:val="24"/>
                <w:lang w:eastAsia="en-US"/>
              </w:rPr>
            </w:pPr>
            <w:r>
              <w:rPr>
                <w:sz w:val="24"/>
                <w:lang w:eastAsia="en-US"/>
              </w:rPr>
              <w:t xml:space="preserve">2 684 </w:t>
            </w:r>
          </w:p>
        </w:tc>
        <w:tc>
          <w:tcPr>
            <w:tcW w:w="1701" w:type="dxa"/>
            <w:hideMark/>
          </w:tcPr>
          <w:p w:rsidR="00190CDB" w:rsidRDefault="00190CDB" w:rsidP="00190CDB">
            <w:pPr>
              <w:spacing w:line="256" w:lineRule="auto"/>
              <w:jc w:val="center"/>
              <w:rPr>
                <w:sz w:val="24"/>
                <w:lang w:eastAsia="en-US"/>
              </w:rPr>
            </w:pPr>
            <w:r>
              <w:rPr>
                <w:sz w:val="24"/>
                <w:lang w:eastAsia="en-US"/>
              </w:rPr>
              <w:t>2 920</w:t>
            </w:r>
          </w:p>
        </w:tc>
        <w:tc>
          <w:tcPr>
            <w:tcW w:w="1843" w:type="dxa"/>
            <w:hideMark/>
          </w:tcPr>
          <w:p w:rsidR="00190CDB" w:rsidRDefault="00190CDB" w:rsidP="00190CDB">
            <w:pPr>
              <w:spacing w:line="256" w:lineRule="auto"/>
              <w:jc w:val="center"/>
              <w:rPr>
                <w:sz w:val="24"/>
                <w:lang w:eastAsia="en-US"/>
              </w:rPr>
            </w:pPr>
            <w:r>
              <w:rPr>
                <w:sz w:val="24"/>
                <w:lang w:eastAsia="en-US"/>
              </w:rPr>
              <w:t>2 920</w:t>
            </w:r>
          </w:p>
        </w:tc>
      </w:tr>
      <w:tr w:rsidR="00190CDB" w:rsidTr="00190CDB">
        <w:tc>
          <w:tcPr>
            <w:tcW w:w="4395" w:type="dxa"/>
            <w:hideMark/>
          </w:tcPr>
          <w:p w:rsidR="00190CDB" w:rsidRDefault="00190CDB" w:rsidP="00190CDB">
            <w:pPr>
              <w:spacing w:line="256" w:lineRule="auto"/>
              <w:jc w:val="both"/>
              <w:rPr>
                <w:sz w:val="24"/>
                <w:lang w:eastAsia="en-US"/>
              </w:rPr>
            </w:pPr>
            <w:r>
              <w:rPr>
                <w:bCs/>
                <w:sz w:val="24"/>
                <w:lang w:eastAsia="en-US"/>
              </w:rPr>
              <w:t>Приріст до попереднього року (%)</w:t>
            </w:r>
          </w:p>
        </w:tc>
        <w:tc>
          <w:tcPr>
            <w:tcW w:w="1559" w:type="dxa"/>
            <w:vAlign w:val="center"/>
            <w:hideMark/>
          </w:tcPr>
          <w:p w:rsidR="00190CDB" w:rsidRDefault="00190CDB" w:rsidP="00190CDB">
            <w:pPr>
              <w:spacing w:line="256" w:lineRule="auto"/>
              <w:jc w:val="center"/>
              <w:rPr>
                <w:sz w:val="24"/>
                <w:lang w:eastAsia="en-US"/>
              </w:rPr>
            </w:pPr>
            <w:r>
              <w:rPr>
                <w:sz w:val="24"/>
                <w:lang w:eastAsia="en-US"/>
              </w:rPr>
              <w:t>+8,2</w:t>
            </w:r>
          </w:p>
        </w:tc>
        <w:tc>
          <w:tcPr>
            <w:tcW w:w="1701" w:type="dxa"/>
            <w:vAlign w:val="center"/>
            <w:hideMark/>
          </w:tcPr>
          <w:p w:rsidR="00190CDB" w:rsidRDefault="00190CDB" w:rsidP="00190CDB">
            <w:pPr>
              <w:spacing w:line="256" w:lineRule="auto"/>
              <w:jc w:val="center"/>
              <w:rPr>
                <w:sz w:val="24"/>
                <w:lang w:eastAsia="en-US"/>
              </w:rPr>
            </w:pPr>
            <w:r>
              <w:rPr>
                <w:sz w:val="24"/>
                <w:lang w:eastAsia="en-US"/>
              </w:rPr>
              <w:t>+8,8</w:t>
            </w:r>
          </w:p>
        </w:tc>
        <w:tc>
          <w:tcPr>
            <w:tcW w:w="1843" w:type="dxa"/>
            <w:vAlign w:val="center"/>
            <w:hideMark/>
          </w:tcPr>
          <w:p w:rsidR="00190CDB" w:rsidRDefault="00190CDB" w:rsidP="00190CDB">
            <w:pPr>
              <w:spacing w:line="256" w:lineRule="auto"/>
              <w:jc w:val="center"/>
              <w:rPr>
                <w:sz w:val="24"/>
                <w:lang w:eastAsia="en-US"/>
              </w:rPr>
            </w:pPr>
            <w:r>
              <w:rPr>
                <w:sz w:val="24"/>
                <w:lang w:eastAsia="en-US"/>
              </w:rPr>
              <w:t>0</w:t>
            </w:r>
          </w:p>
        </w:tc>
      </w:tr>
    </w:tbl>
    <w:p w:rsidR="000B1B98" w:rsidRDefault="000B1B98" w:rsidP="000B1B98">
      <w:pPr>
        <w:ind w:firstLine="709"/>
        <w:jc w:val="both"/>
        <w:rPr>
          <w:bCs/>
          <w:sz w:val="14"/>
          <w:szCs w:val="28"/>
        </w:rPr>
      </w:pPr>
    </w:p>
    <w:p w:rsidR="000B1B98" w:rsidRDefault="000B1B98" w:rsidP="000B1B98">
      <w:pPr>
        <w:pStyle w:val="a5"/>
        <w:numPr>
          <w:ilvl w:val="0"/>
          <w:numId w:val="4"/>
        </w:numPr>
        <w:ind w:left="0" w:firstLine="1069"/>
        <w:jc w:val="both"/>
        <w:rPr>
          <w:bCs/>
          <w:szCs w:val="28"/>
        </w:rPr>
      </w:pPr>
      <w:r>
        <w:rPr>
          <w:bCs/>
          <w:szCs w:val="28"/>
        </w:rPr>
        <w:t>скорочення кількості осіб, які мають право на податкову соціальну пільгу.</w:t>
      </w:r>
    </w:p>
    <w:p w:rsidR="000B1B98" w:rsidRDefault="000B1B98" w:rsidP="000B1B98">
      <w:pPr>
        <w:ind w:firstLine="709"/>
        <w:jc w:val="both"/>
        <w:rPr>
          <w:bCs/>
          <w:i/>
          <w:szCs w:val="28"/>
          <w:shd w:val="clear" w:color="auto" w:fill="FFFFFF"/>
        </w:rPr>
      </w:pPr>
      <w:r>
        <w:rPr>
          <w:bCs/>
          <w:szCs w:val="28"/>
          <w:shd w:val="clear" w:color="auto" w:fill="FFFFFF"/>
        </w:rPr>
        <w:t>Граничний розмір доходу, до якого застосовується податкова соціальна пільга у 202</w:t>
      </w:r>
      <w:r w:rsidR="00190CDB">
        <w:rPr>
          <w:bCs/>
          <w:szCs w:val="28"/>
          <w:shd w:val="clear" w:color="auto" w:fill="FFFFFF"/>
        </w:rPr>
        <w:t>5</w:t>
      </w:r>
      <w:r>
        <w:rPr>
          <w:bCs/>
          <w:szCs w:val="28"/>
          <w:shd w:val="clear" w:color="auto" w:fill="FFFFFF"/>
        </w:rPr>
        <w:t xml:space="preserve"> році становить </w:t>
      </w:r>
      <w:r w:rsidR="009A04F8">
        <w:rPr>
          <w:bCs/>
          <w:szCs w:val="28"/>
          <w:shd w:val="clear" w:color="auto" w:fill="FFFFFF"/>
        </w:rPr>
        <w:t xml:space="preserve">4 </w:t>
      </w:r>
      <w:r w:rsidR="00190CDB">
        <w:rPr>
          <w:bCs/>
          <w:szCs w:val="28"/>
          <w:shd w:val="clear" w:color="auto" w:fill="FFFFFF"/>
        </w:rPr>
        <w:t>24</w:t>
      </w:r>
      <w:r w:rsidR="009A04F8">
        <w:rPr>
          <w:bCs/>
          <w:szCs w:val="28"/>
          <w:shd w:val="clear" w:color="auto" w:fill="FFFFFF"/>
        </w:rPr>
        <w:t>0</w:t>
      </w:r>
      <w:r>
        <w:rPr>
          <w:bCs/>
          <w:szCs w:val="28"/>
          <w:shd w:val="clear" w:color="auto" w:fill="FFFFFF"/>
        </w:rPr>
        <w:t xml:space="preserve"> грн </w:t>
      </w:r>
      <w:r>
        <w:rPr>
          <w:bCs/>
          <w:i/>
          <w:szCs w:val="28"/>
          <w:shd w:val="clear" w:color="auto" w:fill="FFFFFF"/>
        </w:rPr>
        <w:t xml:space="preserve">(цей розмір обчислюється як добуток місячного прожиткового мінімуму, діючого для працездатної особи на 1 січня звітного податкового року, на 1,4 та округлений до найближчих 10 гривень відповідно до </w:t>
      </w:r>
      <w:hyperlink r:id="rId8" w:history="1">
        <w:r>
          <w:rPr>
            <w:rStyle w:val="a3"/>
            <w:bCs/>
            <w:i/>
            <w:color w:val="auto"/>
            <w:szCs w:val="28"/>
            <w:u w:val="none"/>
            <w:shd w:val="clear" w:color="auto" w:fill="FFFFFF"/>
          </w:rPr>
          <w:t>підпунктy 169.4.1 Податкового кодексу України</w:t>
        </w:r>
      </w:hyperlink>
      <w:r>
        <w:rPr>
          <w:bCs/>
          <w:i/>
          <w:szCs w:val="28"/>
          <w:shd w:val="clear" w:color="auto" w:fill="FFFFFF"/>
        </w:rPr>
        <w:t>).</w:t>
      </w:r>
    </w:p>
    <w:p w:rsidR="000B1B98" w:rsidRDefault="000B1B98" w:rsidP="000B1B98">
      <w:pPr>
        <w:tabs>
          <w:tab w:val="left" w:pos="0"/>
        </w:tabs>
        <w:jc w:val="both"/>
        <w:rPr>
          <w:szCs w:val="28"/>
        </w:rPr>
      </w:pPr>
      <w:r>
        <w:rPr>
          <w:szCs w:val="28"/>
        </w:rPr>
        <w:tab/>
        <w:t xml:space="preserve">Податку на доходи фізичних осіб обраховано в сумі </w:t>
      </w:r>
      <w:r w:rsidR="003B6F7D">
        <w:rPr>
          <w:szCs w:val="28"/>
        </w:rPr>
        <w:t>142 479,1</w:t>
      </w:r>
      <w:r>
        <w:rPr>
          <w:szCs w:val="28"/>
        </w:rPr>
        <w:t xml:space="preserve"> тис. гривень, що на </w:t>
      </w:r>
      <w:r w:rsidR="003B6F7D">
        <w:rPr>
          <w:szCs w:val="28"/>
        </w:rPr>
        <w:t>4 505,8</w:t>
      </w:r>
      <w:r>
        <w:rPr>
          <w:szCs w:val="28"/>
        </w:rPr>
        <w:t xml:space="preserve"> тис. гривень </w:t>
      </w:r>
      <w:r w:rsidR="00FF19DC">
        <w:rPr>
          <w:szCs w:val="28"/>
        </w:rPr>
        <w:t>біль</w:t>
      </w:r>
      <w:r>
        <w:rPr>
          <w:szCs w:val="28"/>
        </w:rPr>
        <w:t>ше очікуваних надходжень 202</w:t>
      </w:r>
      <w:r w:rsidR="003B6F7D">
        <w:rPr>
          <w:szCs w:val="28"/>
        </w:rPr>
        <w:t>4</w:t>
      </w:r>
      <w:r>
        <w:rPr>
          <w:szCs w:val="28"/>
        </w:rPr>
        <w:t xml:space="preserve"> року, </w:t>
      </w:r>
      <w:r w:rsidR="009A04F8">
        <w:rPr>
          <w:szCs w:val="28"/>
        </w:rPr>
        <w:t xml:space="preserve">або </w:t>
      </w:r>
      <w:r w:rsidR="007F2DE2">
        <w:rPr>
          <w:szCs w:val="28"/>
        </w:rPr>
        <w:t>н</w:t>
      </w:r>
      <w:r w:rsidR="009A04F8">
        <w:rPr>
          <w:szCs w:val="28"/>
        </w:rPr>
        <w:t xml:space="preserve">а </w:t>
      </w:r>
      <w:r w:rsidR="007F2DE2">
        <w:rPr>
          <w:szCs w:val="28"/>
        </w:rPr>
        <w:t>3,</w:t>
      </w:r>
      <w:r w:rsidR="003B6F7D">
        <w:rPr>
          <w:szCs w:val="28"/>
        </w:rPr>
        <w:t>3</w:t>
      </w:r>
      <w:r>
        <w:rPr>
          <w:szCs w:val="28"/>
        </w:rPr>
        <w:t>%.</w:t>
      </w:r>
    </w:p>
    <w:p w:rsidR="00530BB9" w:rsidRDefault="000B1B98" w:rsidP="00530BB9">
      <w:pPr>
        <w:tabs>
          <w:tab w:val="left" w:pos="0"/>
        </w:tabs>
        <w:jc w:val="both"/>
        <w:rPr>
          <w:szCs w:val="28"/>
        </w:rPr>
      </w:pPr>
      <w:r>
        <w:rPr>
          <w:szCs w:val="28"/>
        </w:rPr>
        <w:tab/>
      </w:r>
    </w:p>
    <w:p w:rsidR="000B1B98" w:rsidRDefault="000B1B98" w:rsidP="00530BB9">
      <w:pPr>
        <w:tabs>
          <w:tab w:val="left" w:pos="0"/>
        </w:tabs>
        <w:jc w:val="both"/>
        <w:rPr>
          <w:b/>
          <w:szCs w:val="28"/>
        </w:rPr>
      </w:pPr>
      <w:r>
        <w:rPr>
          <w:b/>
          <w:szCs w:val="28"/>
        </w:rPr>
        <w:t>Динаміка надходжень податку на доходи фізичних осіб</w:t>
      </w:r>
    </w:p>
    <w:p w:rsidR="000B1B98" w:rsidRDefault="000B1B98" w:rsidP="000B1B98">
      <w:pPr>
        <w:tabs>
          <w:tab w:val="left" w:pos="0"/>
        </w:tabs>
        <w:jc w:val="right"/>
        <w:rPr>
          <w:sz w:val="22"/>
          <w:szCs w:val="22"/>
        </w:rPr>
      </w:pPr>
      <w:r>
        <w:rPr>
          <w:sz w:val="22"/>
          <w:szCs w:val="22"/>
        </w:rPr>
        <w:t>тис. гривень</w:t>
      </w:r>
    </w:p>
    <w:tbl>
      <w:tblPr>
        <w:tblStyle w:val="a6"/>
        <w:tblW w:w="0" w:type="auto"/>
        <w:tblInd w:w="0" w:type="dxa"/>
        <w:tblLook w:val="04A0" w:firstRow="1" w:lastRow="0" w:firstColumn="1" w:lastColumn="0" w:noHBand="0" w:noVBand="1"/>
      </w:tblPr>
      <w:tblGrid>
        <w:gridCol w:w="2972"/>
        <w:gridCol w:w="2410"/>
        <w:gridCol w:w="1984"/>
        <w:gridCol w:w="1979"/>
      </w:tblGrid>
      <w:tr w:rsidR="000B1B98" w:rsidTr="000B1B98">
        <w:tc>
          <w:tcPr>
            <w:tcW w:w="2972"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b/>
                <w:bCs/>
                <w:sz w:val="22"/>
                <w:szCs w:val="22"/>
                <w:lang w:eastAsia="uk-UA"/>
              </w:rPr>
            </w:pPr>
            <w:r>
              <w:rPr>
                <w:b/>
                <w:bCs/>
                <w:sz w:val="22"/>
                <w:szCs w:val="22"/>
                <w:lang w:eastAsia="uk-UA"/>
              </w:rPr>
              <w:t>Показники</w:t>
            </w:r>
          </w:p>
        </w:tc>
        <w:tc>
          <w:tcPr>
            <w:tcW w:w="2410"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b/>
                <w:bCs/>
                <w:sz w:val="22"/>
                <w:szCs w:val="22"/>
                <w:lang w:eastAsia="uk-UA"/>
              </w:rPr>
            </w:pPr>
            <w:r>
              <w:rPr>
                <w:b/>
                <w:bCs/>
                <w:sz w:val="22"/>
                <w:szCs w:val="22"/>
                <w:lang w:eastAsia="uk-UA"/>
              </w:rPr>
              <w:t>Факт 202</w:t>
            </w:r>
            <w:r w:rsidR="00F00540">
              <w:rPr>
                <w:b/>
                <w:bCs/>
                <w:sz w:val="22"/>
                <w:szCs w:val="22"/>
                <w:lang w:eastAsia="uk-UA"/>
              </w:rPr>
              <w:t>3</w:t>
            </w:r>
            <w:r>
              <w:rPr>
                <w:b/>
                <w:bCs/>
                <w:sz w:val="22"/>
                <w:szCs w:val="22"/>
                <w:lang w:eastAsia="uk-UA"/>
              </w:rPr>
              <w:t xml:space="preserve"> року (</w:t>
            </w:r>
            <w:r w:rsidR="00C840DC">
              <w:rPr>
                <w:b/>
                <w:bCs/>
                <w:sz w:val="22"/>
                <w:szCs w:val="22"/>
                <w:lang w:eastAsia="uk-UA"/>
              </w:rPr>
              <w:t>64%</w:t>
            </w:r>
            <w:r>
              <w:rPr>
                <w:b/>
                <w:bCs/>
                <w:sz w:val="22"/>
                <w:szCs w:val="22"/>
                <w:lang w:eastAsia="uk-UA"/>
              </w:rPr>
              <w:t>)</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b/>
                <w:bCs/>
                <w:sz w:val="22"/>
                <w:szCs w:val="22"/>
                <w:lang w:eastAsia="uk-UA"/>
              </w:rPr>
            </w:pPr>
            <w:r>
              <w:rPr>
                <w:b/>
                <w:bCs/>
                <w:sz w:val="22"/>
                <w:szCs w:val="22"/>
                <w:lang w:eastAsia="uk-UA"/>
              </w:rPr>
              <w:t>Очікуване за 202</w:t>
            </w:r>
            <w:r w:rsidR="00F00540">
              <w:rPr>
                <w:b/>
                <w:bCs/>
                <w:sz w:val="22"/>
                <w:szCs w:val="22"/>
                <w:lang w:eastAsia="uk-UA"/>
              </w:rPr>
              <w:t>4</w:t>
            </w:r>
            <w:r>
              <w:rPr>
                <w:b/>
                <w:bCs/>
                <w:sz w:val="22"/>
                <w:szCs w:val="22"/>
                <w:lang w:eastAsia="uk-UA"/>
              </w:rPr>
              <w:t xml:space="preserve"> рік</w:t>
            </w:r>
            <w:r w:rsidR="00C840DC">
              <w:rPr>
                <w:b/>
                <w:bCs/>
                <w:sz w:val="22"/>
                <w:szCs w:val="22"/>
                <w:lang w:eastAsia="uk-UA"/>
              </w:rPr>
              <w:t xml:space="preserve"> (64%)</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b/>
                <w:bCs/>
                <w:sz w:val="22"/>
                <w:szCs w:val="22"/>
                <w:lang w:eastAsia="uk-UA"/>
              </w:rPr>
            </w:pPr>
            <w:r>
              <w:rPr>
                <w:b/>
                <w:bCs/>
                <w:sz w:val="22"/>
                <w:szCs w:val="22"/>
                <w:lang w:eastAsia="uk-UA"/>
              </w:rPr>
              <w:t>Прогноз на 202</w:t>
            </w:r>
            <w:r w:rsidR="00F00540">
              <w:rPr>
                <w:b/>
                <w:bCs/>
                <w:sz w:val="22"/>
                <w:szCs w:val="22"/>
                <w:lang w:eastAsia="uk-UA"/>
              </w:rPr>
              <w:t>5</w:t>
            </w:r>
            <w:r>
              <w:rPr>
                <w:b/>
                <w:bCs/>
                <w:sz w:val="22"/>
                <w:szCs w:val="22"/>
                <w:lang w:eastAsia="uk-UA"/>
              </w:rPr>
              <w:t xml:space="preserve"> рік</w:t>
            </w:r>
            <w:r w:rsidR="00C840DC">
              <w:rPr>
                <w:b/>
                <w:bCs/>
                <w:sz w:val="22"/>
                <w:szCs w:val="22"/>
                <w:lang w:eastAsia="uk-UA"/>
              </w:rPr>
              <w:t xml:space="preserve"> (6</w:t>
            </w:r>
            <w:r w:rsidR="006250BE">
              <w:rPr>
                <w:b/>
                <w:bCs/>
                <w:sz w:val="22"/>
                <w:szCs w:val="22"/>
                <w:lang w:eastAsia="uk-UA"/>
              </w:rPr>
              <w:t>4</w:t>
            </w:r>
            <w:r w:rsidR="00C840DC">
              <w:rPr>
                <w:b/>
                <w:bCs/>
                <w:sz w:val="22"/>
                <w:szCs w:val="22"/>
                <w:lang w:eastAsia="uk-UA"/>
              </w:rPr>
              <w:t>%)</w:t>
            </w:r>
          </w:p>
        </w:tc>
      </w:tr>
      <w:tr w:rsidR="000B1B98" w:rsidTr="000B1B98">
        <w:tc>
          <w:tcPr>
            <w:tcW w:w="2972"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sz w:val="22"/>
                <w:szCs w:val="22"/>
                <w:lang w:eastAsia="uk-UA"/>
              </w:rPr>
            </w:pPr>
            <w:r>
              <w:rPr>
                <w:sz w:val="22"/>
                <w:szCs w:val="22"/>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2410"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Pr="006250BE" w:rsidRDefault="006250BE">
            <w:pPr>
              <w:tabs>
                <w:tab w:val="left" w:pos="0"/>
              </w:tabs>
              <w:jc w:val="center"/>
              <w:rPr>
                <w:sz w:val="22"/>
                <w:szCs w:val="22"/>
                <w:lang w:eastAsia="uk-UA"/>
              </w:rPr>
            </w:pPr>
            <w:r>
              <w:rPr>
                <w:sz w:val="22"/>
                <w:szCs w:val="22"/>
                <w:lang w:eastAsia="uk-UA"/>
              </w:rPr>
              <w:t>111</w:t>
            </w:r>
            <w:r w:rsidR="000C6D7E">
              <w:rPr>
                <w:sz w:val="22"/>
                <w:szCs w:val="22"/>
                <w:lang w:eastAsia="uk-UA"/>
              </w:rPr>
              <w:t> 635,2</w:t>
            </w:r>
          </w:p>
        </w:tc>
        <w:tc>
          <w:tcPr>
            <w:tcW w:w="1984"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Pr="00530BB9" w:rsidRDefault="007F2DE2">
            <w:pPr>
              <w:tabs>
                <w:tab w:val="left" w:pos="0"/>
              </w:tabs>
              <w:jc w:val="center"/>
              <w:rPr>
                <w:sz w:val="22"/>
                <w:szCs w:val="22"/>
                <w:lang w:eastAsia="uk-UA"/>
              </w:rPr>
            </w:pPr>
            <w:r>
              <w:rPr>
                <w:sz w:val="22"/>
                <w:szCs w:val="22"/>
                <w:lang w:eastAsia="uk-UA"/>
              </w:rPr>
              <w:t>1</w:t>
            </w:r>
            <w:r w:rsidR="000C6D7E">
              <w:rPr>
                <w:sz w:val="22"/>
                <w:szCs w:val="22"/>
                <w:lang w:eastAsia="uk-UA"/>
              </w:rPr>
              <w:t>24</w:t>
            </w:r>
            <w:r>
              <w:rPr>
                <w:sz w:val="22"/>
                <w:szCs w:val="22"/>
                <w:lang w:eastAsia="uk-UA"/>
              </w:rPr>
              <w:t> </w:t>
            </w:r>
            <w:r w:rsidR="000C6D7E">
              <w:rPr>
                <w:sz w:val="22"/>
                <w:szCs w:val="22"/>
                <w:lang w:eastAsia="uk-UA"/>
              </w:rPr>
              <w:t>697</w:t>
            </w:r>
            <w:r>
              <w:rPr>
                <w:sz w:val="22"/>
                <w:szCs w:val="22"/>
                <w:lang w:eastAsia="uk-UA"/>
              </w:rPr>
              <w:t>,</w:t>
            </w:r>
            <w:r w:rsidR="000C6D7E">
              <w:rPr>
                <w:sz w:val="22"/>
                <w:szCs w:val="22"/>
                <w:lang w:eastAsia="uk-UA"/>
              </w:rPr>
              <w:t>5</w:t>
            </w:r>
          </w:p>
        </w:tc>
        <w:tc>
          <w:tcPr>
            <w:tcW w:w="1979" w:type="dxa"/>
            <w:tcBorders>
              <w:top w:val="single" w:sz="4" w:space="0" w:color="auto"/>
              <w:left w:val="single" w:sz="4" w:space="0" w:color="auto"/>
              <w:bottom w:val="single" w:sz="4" w:space="0" w:color="auto"/>
              <w:right w:val="single" w:sz="4" w:space="0" w:color="auto"/>
            </w:tcBorders>
          </w:tcPr>
          <w:p w:rsidR="007F2DE2" w:rsidRDefault="007F2DE2">
            <w:pPr>
              <w:tabs>
                <w:tab w:val="left" w:pos="0"/>
              </w:tabs>
              <w:jc w:val="center"/>
              <w:rPr>
                <w:sz w:val="22"/>
                <w:szCs w:val="22"/>
                <w:lang w:eastAsia="uk-UA"/>
              </w:rPr>
            </w:pPr>
          </w:p>
          <w:p w:rsidR="000B1B98" w:rsidRPr="00530BB9" w:rsidRDefault="007F2DE2">
            <w:pPr>
              <w:tabs>
                <w:tab w:val="left" w:pos="0"/>
              </w:tabs>
              <w:jc w:val="center"/>
              <w:rPr>
                <w:sz w:val="22"/>
                <w:szCs w:val="22"/>
                <w:lang w:eastAsia="uk-UA"/>
              </w:rPr>
            </w:pPr>
            <w:r>
              <w:rPr>
                <w:sz w:val="22"/>
                <w:szCs w:val="22"/>
                <w:lang w:eastAsia="uk-UA"/>
              </w:rPr>
              <w:t>128 6</w:t>
            </w:r>
            <w:r w:rsidR="000C6D7E">
              <w:rPr>
                <w:sz w:val="22"/>
                <w:szCs w:val="22"/>
                <w:lang w:eastAsia="uk-UA"/>
              </w:rPr>
              <w:t>8</w:t>
            </w:r>
            <w:r>
              <w:rPr>
                <w:sz w:val="22"/>
                <w:szCs w:val="22"/>
                <w:lang w:eastAsia="uk-UA"/>
              </w:rPr>
              <w:t>7,</w:t>
            </w:r>
            <w:r w:rsidR="000C6D7E">
              <w:rPr>
                <w:sz w:val="22"/>
                <w:szCs w:val="22"/>
                <w:lang w:eastAsia="uk-UA"/>
              </w:rPr>
              <w:t>8</w:t>
            </w:r>
          </w:p>
        </w:tc>
      </w:tr>
      <w:tr w:rsidR="000B1B98" w:rsidTr="000B1B98">
        <w:tc>
          <w:tcPr>
            <w:tcW w:w="2972"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sz w:val="22"/>
                <w:szCs w:val="22"/>
                <w:lang w:eastAsia="uk-UA"/>
              </w:rPr>
            </w:pPr>
            <w:r>
              <w:rPr>
                <w:sz w:val="22"/>
                <w:szCs w:val="22"/>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2410"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Pr="006250BE" w:rsidRDefault="000C6D7E">
            <w:pPr>
              <w:tabs>
                <w:tab w:val="left" w:pos="0"/>
              </w:tabs>
              <w:jc w:val="center"/>
              <w:rPr>
                <w:sz w:val="22"/>
                <w:szCs w:val="22"/>
                <w:lang w:eastAsia="uk-UA"/>
              </w:rPr>
            </w:pPr>
            <w:r>
              <w:rPr>
                <w:sz w:val="22"/>
                <w:szCs w:val="22"/>
                <w:lang w:eastAsia="uk-UA"/>
              </w:rPr>
              <w:t>10 916,9</w:t>
            </w:r>
          </w:p>
        </w:tc>
        <w:tc>
          <w:tcPr>
            <w:tcW w:w="1984"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Default="007F2DE2">
            <w:pPr>
              <w:tabs>
                <w:tab w:val="left" w:pos="0"/>
              </w:tabs>
              <w:jc w:val="center"/>
              <w:rPr>
                <w:sz w:val="22"/>
                <w:szCs w:val="22"/>
                <w:lang w:eastAsia="uk-UA"/>
              </w:rPr>
            </w:pPr>
            <w:r>
              <w:rPr>
                <w:sz w:val="22"/>
                <w:szCs w:val="22"/>
                <w:lang w:eastAsia="uk-UA"/>
              </w:rPr>
              <w:t>1</w:t>
            </w:r>
            <w:r w:rsidR="000C6D7E">
              <w:rPr>
                <w:sz w:val="22"/>
                <w:szCs w:val="22"/>
                <w:lang w:eastAsia="uk-UA"/>
              </w:rPr>
              <w:t>2 0</w:t>
            </w:r>
            <w:r>
              <w:rPr>
                <w:sz w:val="22"/>
                <w:szCs w:val="22"/>
                <w:lang w:eastAsia="uk-UA"/>
              </w:rPr>
              <w:t>7</w:t>
            </w:r>
            <w:r w:rsidR="000C6D7E">
              <w:rPr>
                <w:sz w:val="22"/>
                <w:szCs w:val="22"/>
                <w:lang w:eastAsia="uk-UA"/>
              </w:rPr>
              <w:t>5</w:t>
            </w:r>
            <w:r>
              <w:rPr>
                <w:sz w:val="22"/>
                <w:szCs w:val="22"/>
                <w:lang w:eastAsia="uk-UA"/>
              </w:rPr>
              <w:t>,</w:t>
            </w:r>
            <w:r w:rsidR="000C6D7E">
              <w:rPr>
                <w:sz w:val="22"/>
                <w:szCs w:val="22"/>
                <w:lang w:eastAsia="uk-UA"/>
              </w:rPr>
              <w:t>1</w:t>
            </w:r>
          </w:p>
          <w:p w:rsidR="007F2DE2" w:rsidRDefault="007F2DE2">
            <w:pPr>
              <w:tabs>
                <w:tab w:val="left" w:pos="0"/>
              </w:tabs>
              <w:jc w:val="center"/>
              <w:rPr>
                <w:sz w:val="22"/>
                <w:szCs w:val="22"/>
                <w:lang w:eastAsia="uk-UA"/>
              </w:rPr>
            </w:pPr>
          </w:p>
        </w:tc>
        <w:tc>
          <w:tcPr>
            <w:tcW w:w="1979" w:type="dxa"/>
            <w:tcBorders>
              <w:top w:val="single" w:sz="4" w:space="0" w:color="auto"/>
              <w:left w:val="single" w:sz="4" w:space="0" w:color="auto"/>
              <w:bottom w:val="single" w:sz="4" w:space="0" w:color="auto"/>
              <w:right w:val="single" w:sz="4" w:space="0" w:color="auto"/>
            </w:tcBorders>
          </w:tcPr>
          <w:p w:rsidR="007F2DE2" w:rsidRDefault="007F2DE2">
            <w:pPr>
              <w:tabs>
                <w:tab w:val="left" w:pos="0"/>
              </w:tabs>
              <w:jc w:val="center"/>
              <w:rPr>
                <w:sz w:val="22"/>
                <w:szCs w:val="22"/>
                <w:lang w:eastAsia="uk-UA"/>
              </w:rPr>
            </w:pPr>
            <w:r>
              <w:rPr>
                <w:sz w:val="22"/>
                <w:szCs w:val="22"/>
                <w:lang w:eastAsia="uk-UA"/>
              </w:rPr>
              <w:t xml:space="preserve"> </w:t>
            </w:r>
          </w:p>
          <w:p w:rsidR="000B1B98" w:rsidRDefault="007F2DE2">
            <w:pPr>
              <w:tabs>
                <w:tab w:val="left" w:pos="0"/>
              </w:tabs>
              <w:jc w:val="center"/>
              <w:rPr>
                <w:sz w:val="22"/>
                <w:szCs w:val="22"/>
                <w:lang w:eastAsia="uk-UA"/>
              </w:rPr>
            </w:pPr>
            <w:r>
              <w:rPr>
                <w:sz w:val="22"/>
                <w:szCs w:val="22"/>
                <w:lang w:eastAsia="uk-UA"/>
              </w:rPr>
              <w:t>1</w:t>
            </w:r>
            <w:r w:rsidR="000C6D7E">
              <w:rPr>
                <w:sz w:val="22"/>
                <w:szCs w:val="22"/>
                <w:lang w:eastAsia="uk-UA"/>
              </w:rPr>
              <w:t>2</w:t>
            </w:r>
            <w:r>
              <w:rPr>
                <w:sz w:val="22"/>
                <w:szCs w:val="22"/>
                <w:lang w:eastAsia="uk-UA"/>
              </w:rPr>
              <w:t> 500,0</w:t>
            </w:r>
          </w:p>
        </w:tc>
      </w:tr>
      <w:tr w:rsidR="000B1B98" w:rsidTr="000B1B98">
        <w:tc>
          <w:tcPr>
            <w:tcW w:w="2972"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sz w:val="22"/>
                <w:szCs w:val="22"/>
                <w:lang w:eastAsia="uk-UA"/>
              </w:rPr>
            </w:pPr>
            <w:r>
              <w:rPr>
                <w:sz w:val="22"/>
                <w:szCs w:val="22"/>
                <w:lang w:eastAsia="uk-UA"/>
              </w:rPr>
              <w:t>Податок на доходи фізичних осіб, що сплачується фізичними особами за результатами річного декларування</w:t>
            </w:r>
          </w:p>
        </w:tc>
        <w:tc>
          <w:tcPr>
            <w:tcW w:w="2410"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Default="008E74B9">
            <w:pPr>
              <w:tabs>
                <w:tab w:val="left" w:pos="0"/>
              </w:tabs>
              <w:jc w:val="center"/>
              <w:rPr>
                <w:sz w:val="22"/>
                <w:szCs w:val="22"/>
                <w:lang w:eastAsia="uk-UA"/>
              </w:rPr>
            </w:pPr>
            <w:r>
              <w:rPr>
                <w:sz w:val="22"/>
                <w:szCs w:val="22"/>
                <w:lang w:eastAsia="uk-UA"/>
              </w:rPr>
              <w:t>510,0</w:t>
            </w:r>
          </w:p>
        </w:tc>
        <w:tc>
          <w:tcPr>
            <w:tcW w:w="1984"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Default="008E74B9">
            <w:pPr>
              <w:tabs>
                <w:tab w:val="left" w:pos="0"/>
              </w:tabs>
              <w:jc w:val="center"/>
              <w:rPr>
                <w:sz w:val="22"/>
                <w:szCs w:val="22"/>
                <w:lang w:eastAsia="uk-UA"/>
              </w:rPr>
            </w:pPr>
            <w:r>
              <w:rPr>
                <w:sz w:val="22"/>
                <w:szCs w:val="22"/>
                <w:lang w:eastAsia="uk-UA"/>
              </w:rPr>
              <w:t>750,0</w:t>
            </w:r>
          </w:p>
        </w:tc>
        <w:tc>
          <w:tcPr>
            <w:tcW w:w="1979" w:type="dxa"/>
            <w:tcBorders>
              <w:top w:val="single" w:sz="4" w:space="0" w:color="auto"/>
              <w:left w:val="single" w:sz="4" w:space="0" w:color="auto"/>
              <w:bottom w:val="single" w:sz="4" w:space="0" w:color="auto"/>
              <w:right w:val="single" w:sz="4" w:space="0" w:color="auto"/>
            </w:tcBorders>
          </w:tcPr>
          <w:p w:rsidR="000B1B98" w:rsidRDefault="000B1B98">
            <w:pPr>
              <w:tabs>
                <w:tab w:val="left" w:pos="0"/>
              </w:tabs>
              <w:jc w:val="center"/>
              <w:rPr>
                <w:sz w:val="22"/>
                <w:szCs w:val="22"/>
                <w:lang w:eastAsia="uk-UA"/>
              </w:rPr>
            </w:pPr>
          </w:p>
          <w:p w:rsidR="000B1B98" w:rsidRDefault="008E74B9">
            <w:pPr>
              <w:tabs>
                <w:tab w:val="left" w:pos="0"/>
              </w:tabs>
              <w:jc w:val="center"/>
              <w:rPr>
                <w:sz w:val="22"/>
                <w:szCs w:val="22"/>
                <w:lang w:eastAsia="uk-UA"/>
              </w:rPr>
            </w:pPr>
            <w:r>
              <w:rPr>
                <w:sz w:val="22"/>
                <w:szCs w:val="22"/>
                <w:lang w:eastAsia="uk-UA"/>
              </w:rPr>
              <w:t>806,3</w:t>
            </w:r>
          </w:p>
        </w:tc>
      </w:tr>
      <w:tr w:rsidR="008E74B9" w:rsidTr="000B1B98">
        <w:tc>
          <w:tcPr>
            <w:tcW w:w="2972" w:type="dxa"/>
            <w:tcBorders>
              <w:top w:val="single" w:sz="4" w:space="0" w:color="auto"/>
              <w:left w:val="single" w:sz="4" w:space="0" w:color="auto"/>
              <w:bottom w:val="single" w:sz="4" w:space="0" w:color="auto"/>
              <w:right w:val="single" w:sz="4" w:space="0" w:color="auto"/>
            </w:tcBorders>
          </w:tcPr>
          <w:p w:rsidR="008E74B9" w:rsidRDefault="008E74B9">
            <w:pPr>
              <w:tabs>
                <w:tab w:val="left" w:pos="0"/>
              </w:tabs>
              <w:jc w:val="both"/>
              <w:rPr>
                <w:sz w:val="22"/>
                <w:szCs w:val="22"/>
                <w:lang w:eastAsia="uk-UA"/>
              </w:rPr>
            </w:pPr>
            <w:r w:rsidRPr="008E74B9">
              <w:rPr>
                <w:sz w:val="22"/>
                <w:szCs w:val="22"/>
                <w:lang w:eastAsia="uk-UA"/>
              </w:rPr>
              <w:t>Податок на доходи фізичних осіб у вигляді мінімального податкового зобов`язання, що підлягає сплаті фізичними особами</w:t>
            </w:r>
          </w:p>
        </w:tc>
        <w:tc>
          <w:tcPr>
            <w:tcW w:w="2410" w:type="dxa"/>
            <w:tcBorders>
              <w:top w:val="single" w:sz="4" w:space="0" w:color="auto"/>
              <w:left w:val="single" w:sz="4" w:space="0" w:color="auto"/>
              <w:bottom w:val="single" w:sz="4" w:space="0" w:color="auto"/>
              <w:right w:val="single" w:sz="4" w:space="0" w:color="auto"/>
            </w:tcBorders>
          </w:tcPr>
          <w:p w:rsidR="008E74B9" w:rsidRDefault="008E74B9">
            <w:pPr>
              <w:tabs>
                <w:tab w:val="left" w:pos="0"/>
              </w:tabs>
              <w:jc w:val="center"/>
              <w:rPr>
                <w:sz w:val="22"/>
                <w:szCs w:val="22"/>
                <w:lang w:eastAsia="uk-UA"/>
              </w:rPr>
            </w:pPr>
          </w:p>
          <w:p w:rsidR="008E74B9" w:rsidRDefault="008E74B9">
            <w:pPr>
              <w:tabs>
                <w:tab w:val="left" w:pos="0"/>
              </w:tabs>
              <w:jc w:val="center"/>
              <w:rPr>
                <w:sz w:val="22"/>
                <w:szCs w:val="22"/>
                <w:lang w:eastAsia="uk-UA"/>
              </w:rPr>
            </w:pPr>
            <w:r>
              <w:rPr>
                <w:sz w:val="22"/>
                <w:szCs w:val="22"/>
                <w:lang w:eastAsia="uk-UA"/>
              </w:rPr>
              <w:t>0</w:t>
            </w:r>
          </w:p>
        </w:tc>
        <w:tc>
          <w:tcPr>
            <w:tcW w:w="1984" w:type="dxa"/>
            <w:tcBorders>
              <w:top w:val="single" w:sz="4" w:space="0" w:color="auto"/>
              <w:left w:val="single" w:sz="4" w:space="0" w:color="auto"/>
              <w:bottom w:val="single" w:sz="4" w:space="0" w:color="auto"/>
              <w:right w:val="single" w:sz="4" w:space="0" w:color="auto"/>
            </w:tcBorders>
          </w:tcPr>
          <w:p w:rsidR="008E74B9" w:rsidRDefault="008E74B9">
            <w:pPr>
              <w:tabs>
                <w:tab w:val="left" w:pos="0"/>
              </w:tabs>
              <w:jc w:val="center"/>
              <w:rPr>
                <w:sz w:val="22"/>
                <w:szCs w:val="22"/>
                <w:lang w:eastAsia="uk-UA"/>
              </w:rPr>
            </w:pPr>
          </w:p>
          <w:p w:rsidR="008E74B9" w:rsidRDefault="008E74B9">
            <w:pPr>
              <w:tabs>
                <w:tab w:val="left" w:pos="0"/>
              </w:tabs>
              <w:jc w:val="center"/>
              <w:rPr>
                <w:sz w:val="22"/>
                <w:szCs w:val="22"/>
                <w:lang w:eastAsia="uk-UA"/>
              </w:rPr>
            </w:pPr>
            <w:r>
              <w:rPr>
                <w:sz w:val="22"/>
                <w:szCs w:val="22"/>
                <w:lang w:eastAsia="uk-UA"/>
              </w:rPr>
              <w:t>450,7</w:t>
            </w:r>
          </w:p>
        </w:tc>
        <w:tc>
          <w:tcPr>
            <w:tcW w:w="1979" w:type="dxa"/>
            <w:tcBorders>
              <w:top w:val="single" w:sz="4" w:space="0" w:color="auto"/>
              <w:left w:val="single" w:sz="4" w:space="0" w:color="auto"/>
              <w:bottom w:val="single" w:sz="4" w:space="0" w:color="auto"/>
              <w:right w:val="single" w:sz="4" w:space="0" w:color="auto"/>
            </w:tcBorders>
          </w:tcPr>
          <w:p w:rsidR="008E74B9" w:rsidRDefault="008E74B9">
            <w:pPr>
              <w:tabs>
                <w:tab w:val="left" w:pos="0"/>
              </w:tabs>
              <w:jc w:val="center"/>
              <w:rPr>
                <w:sz w:val="22"/>
                <w:szCs w:val="22"/>
                <w:lang w:eastAsia="uk-UA"/>
              </w:rPr>
            </w:pPr>
          </w:p>
          <w:p w:rsidR="008E74B9" w:rsidRDefault="008E74B9">
            <w:pPr>
              <w:tabs>
                <w:tab w:val="left" w:pos="0"/>
              </w:tabs>
              <w:jc w:val="center"/>
              <w:rPr>
                <w:sz w:val="22"/>
                <w:szCs w:val="22"/>
                <w:lang w:eastAsia="uk-UA"/>
              </w:rPr>
            </w:pPr>
            <w:r>
              <w:rPr>
                <w:sz w:val="22"/>
                <w:szCs w:val="22"/>
                <w:lang w:eastAsia="uk-UA"/>
              </w:rPr>
              <w:t>485,0</w:t>
            </w:r>
          </w:p>
        </w:tc>
      </w:tr>
    </w:tbl>
    <w:p w:rsidR="000B1B98" w:rsidRDefault="000B1B98" w:rsidP="000B1B98">
      <w:pPr>
        <w:tabs>
          <w:tab w:val="left" w:pos="0"/>
        </w:tabs>
        <w:jc w:val="both"/>
        <w:rPr>
          <w:sz w:val="22"/>
          <w:szCs w:val="22"/>
        </w:rPr>
      </w:pPr>
    </w:p>
    <w:p w:rsidR="000B1B98" w:rsidRDefault="000B1B98" w:rsidP="000B1B98">
      <w:pPr>
        <w:tabs>
          <w:tab w:val="left" w:pos="0"/>
        </w:tabs>
        <w:jc w:val="both"/>
        <w:rPr>
          <w:szCs w:val="28"/>
        </w:rPr>
      </w:pPr>
      <w:r>
        <w:rPr>
          <w:szCs w:val="28"/>
        </w:rPr>
        <w:lastRenderedPageBreak/>
        <w:tab/>
        <w:t>При розрахунку податку враховано ділову активність суб’єктів господарювання, виходячи з можливостей в період дії воєнного стану та ліквідації наслідків збройної агресії проти України.</w:t>
      </w:r>
    </w:p>
    <w:p w:rsidR="000B1B98" w:rsidRDefault="000B1B98" w:rsidP="000B1B98">
      <w:pPr>
        <w:tabs>
          <w:tab w:val="left" w:pos="0"/>
        </w:tabs>
        <w:jc w:val="center"/>
        <w:rPr>
          <w:b/>
          <w:i/>
          <w:szCs w:val="28"/>
        </w:rPr>
      </w:pPr>
    </w:p>
    <w:p w:rsidR="000B1B98" w:rsidRDefault="000B1B98" w:rsidP="000B1B98">
      <w:pPr>
        <w:ind w:firstLine="708"/>
        <w:jc w:val="center"/>
        <w:rPr>
          <w:b/>
          <w:bCs/>
          <w:szCs w:val="28"/>
        </w:rPr>
      </w:pPr>
      <w:r>
        <w:rPr>
          <w:b/>
          <w:bCs/>
          <w:szCs w:val="28"/>
        </w:rPr>
        <w:t>«Податок на прибуток підприємств та фінансових установ комунальної власності»</w:t>
      </w:r>
    </w:p>
    <w:p w:rsidR="000B1B98" w:rsidRDefault="000B1B98" w:rsidP="000B1B98">
      <w:pPr>
        <w:tabs>
          <w:tab w:val="left" w:pos="0"/>
        </w:tabs>
        <w:jc w:val="right"/>
        <w:rPr>
          <w:sz w:val="22"/>
          <w:szCs w:val="22"/>
        </w:rPr>
      </w:pPr>
      <w:r>
        <w:rPr>
          <w:sz w:val="22"/>
          <w:szCs w:val="22"/>
        </w:rPr>
        <w:t>тис.</w:t>
      </w:r>
      <w:r>
        <w:rPr>
          <w:sz w:val="22"/>
          <w:szCs w:val="22"/>
          <w:lang w:val="ru-RU"/>
        </w:rPr>
        <w:t xml:space="preserve"> </w:t>
      </w:r>
      <w:r>
        <w:rPr>
          <w:sz w:val="22"/>
          <w:szCs w:val="22"/>
        </w:rPr>
        <w:t>гривень</w:t>
      </w:r>
    </w:p>
    <w:tbl>
      <w:tblPr>
        <w:tblStyle w:val="a6"/>
        <w:tblW w:w="0" w:type="auto"/>
        <w:tblInd w:w="0" w:type="dxa"/>
        <w:tblLook w:val="04A0" w:firstRow="1" w:lastRow="0" w:firstColumn="1" w:lastColumn="0" w:noHBand="0" w:noVBand="1"/>
      </w:tblPr>
      <w:tblGrid>
        <w:gridCol w:w="2972"/>
        <w:gridCol w:w="2410"/>
        <w:gridCol w:w="1984"/>
        <w:gridCol w:w="1979"/>
      </w:tblGrid>
      <w:tr w:rsidR="000B1B98" w:rsidTr="000B1B98">
        <w:tc>
          <w:tcPr>
            <w:tcW w:w="2972"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Показники</w:t>
            </w:r>
          </w:p>
        </w:tc>
        <w:tc>
          <w:tcPr>
            <w:tcW w:w="2410"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Факт 202</w:t>
            </w:r>
            <w:r w:rsidR="00792747">
              <w:rPr>
                <w:sz w:val="22"/>
                <w:szCs w:val="22"/>
                <w:lang w:eastAsia="uk-UA"/>
              </w:rPr>
              <w:t>3</w:t>
            </w:r>
            <w:r>
              <w:rPr>
                <w:sz w:val="22"/>
                <w:szCs w:val="22"/>
                <w:lang w:eastAsia="uk-UA"/>
              </w:rPr>
              <w:t xml:space="preserve"> року </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Очікуване за 202</w:t>
            </w:r>
            <w:r w:rsidR="00792747">
              <w:rPr>
                <w:sz w:val="22"/>
                <w:szCs w:val="22"/>
                <w:lang w:eastAsia="uk-UA"/>
              </w:rPr>
              <w:t>4</w:t>
            </w:r>
            <w:r>
              <w:rPr>
                <w:sz w:val="22"/>
                <w:szCs w:val="22"/>
                <w:lang w:eastAsia="uk-UA"/>
              </w:rPr>
              <w:t xml:space="preserve"> рік</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Прогноз на 202</w:t>
            </w:r>
            <w:r w:rsidR="00792747">
              <w:rPr>
                <w:sz w:val="22"/>
                <w:szCs w:val="22"/>
                <w:lang w:eastAsia="uk-UA"/>
              </w:rPr>
              <w:t>5</w:t>
            </w:r>
            <w:r>
              <w:rPr>
                <w:sz w:val="22"/>
                <w:szCs w:val="22"/>
                <w:lang w:eastAsia="uk-UA"/>
              </w:rPr>
              <w:t xml:space="preserve"> рік</w:t>
            </w:r>
          </w:p>
        </w:tc>
      </w:tr>
      <w:tr w:rsidR="000B1B98" w:rsidTr="000B1B98">
        <w:tc>
          <w:tcPr>
            <w:tcW w:w="2972"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sz w:val="22"/>
                <w:szCs w:val="22"/>
                <w:lang w:eastAsia="uk-UA"/>
              </w:rPr>
            </w:pPr>
            <w:r>
              <w:rPr>
                <w:sz w:val="22"/>
                <w:szCs w:val="22"/>
                <w:lang w:eastAsia="uk-UA"/>
              </w:rPr>
              <w:t>Податок на прибуток</w:t>
            </w:r>
          </w:p>
        </w:tc>
        <w:tc>
          <w:tcPr>
            <w:tcW w:w="2410" w:type="dxa"/>
            <w:tcBorders>
              <w:top w:val="single" w:sz="4" w:space="0" w:color="auto"/>
              <w:left w:val="single" w:sz="4" w:space="0" w:color="auto"/>
              <w:bottom w:val="single" w:sz="4" w:space="0" w:color="auto"/>
              <w:right w:val="single" w:sz="4" w:space="0" w:color="auto"/>
            </w:tcBorders>
            <w:hideMark/>
          </w:tcPr>
          <w:p w:rsidR="000B1B98" w:rsidRDefault="00792747">
            <w:pPr>
              <w:tabs>
                <w:tab w:val="left" w:pos="0"/>
              </w:tabs>
              <w:jc w:val="center"/>
              <w:rPr>
                <w:sz w:val="22"/>
                <w:szCs w:val="22"/>
                <w:lang w:eastAsia="uk-UA"/>
              </w:rPr>
            </w:pPr>
            <w:r>
              <w:rPr>
                <w:sz w:val="22"/>
                <w:szCs w:val="22"/>
                <w:lang w:eastAsia="uk-UA"/>
              </w:rPr>
              <w:t>936,9</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792747">
            <w:pPr>
              <w:tabs>
                <w:tab w:val="left" w:pos="0"/>
              </w:tabs>
              <w:jc w:val="center"/>
              <w:rPr>
                <w:sz w:val="22"/>
                <w:szCs w:val="22"/>
                <w:lang w:eastAsia="uk-UA"/>
              </w:rPr>
            </w:pPr>
            <w:r>
              <w:rPr>
                <w:sz w:val="22"/>
                <w:szCs w:val="22"/>
                <w:lang w:eastAsia="uk-UA"/>
              </w:rPr>
              <w:t>657,9</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792747">
            <w:pPr>
              <w:tabs>
                <w:tab w:val="left" w:pos="0"/>
              </w:tabs>
              <w:jc w:val="center"/>
              <w:rPr>
                <w:sz w:val="22"/>
                <w:szCs w:val="22"/>
                <w:lang w:eastAsia="uk-UA"/>
              </w:rPr>
            </w:pPr>
            <w:r>
              <w:rPr>
                <w:sz w:val="22"/>
                <w:szCs w:val="22"/>
                <w:lang w:eastAsia="uk-UA"/>
              </w:rPr>
              <w:t>660,0</w:t>
            </w:r>
          </w:p>
        </w:tc>
      </w:tr>
    </w:tbl>
    <w:p w:rsidR="000B1B98" w:rsidRDefault="000B1B98" w:rsidP="000B1B98">
      <w:pPr>
        <w:ind w:firstLine="708"/>
        <w:jc w:val="both"/>
        <w:rPr>
          <w:b/>
          <w:bCs/>
          <w:szCs w:val="28"/>
        </w:rPr>
      </w:pPr>
    </w:p>
    <w:p w:rsidR="000B1B98" w:rsidRDefault="000B1B98" w:rsidP="000B1B98">
      <w:pPr>
        <w:ind w:firstLine="708"/>
        <w:jc w:val="both"/>
        <w:rPr>
          <w:bCs/>
          <w:szCs w:val="28"/>
        </w:rPr>
      </w:pPr>
      <w:r>
        <w:rPr>
          <w:bCs/>
          <w:szCs w:val="28"/>
        </w:rPr>
        <w:t>Прогноз податку на прибуток на 202</w:t>
      </w:r>
      <w:r w:rsidR="005A4C2E">
        <w:rPr>
          <w:bCs/>
          <w:szCs w:val="28"/>
        </w:rPr>
        <w:t>5</w:t>
      </w:r>
      <w:r>
        <w:rPr>
          <w:bCs/>
          <w:szCs w:val="28"/>
        </w:rPr>
        <w:t xml:space="preserve"> рік визначено в сумі </w:t>
      </w:r>
      <w:r w:rsidR="005A4C2E">
        <w:rPr>
          <w:bCs/>
          <w:szCs w:val="28"/>
        </w:rPr>
        <w:t>660,</w:t>
      </w:r>
      <w:r w:rsidR="00CF3E4E">
        <w:rPr>
          <w:bCs/>
          <w:szCs w:val="28"/>
        </w:rPr>
        <w:t>0</w:t>
      </w:r>
      <w:r>
        <w:rPr>
          <w:bCs/>
          <w:szCs w:val="28"/>
        </w:rPr>
        <w:t xml:space="preserve"> тис. гривень, що на </w:t>
      </w:r>
      <w:r w:rsidR="005A4C2E">
        <w:rPr>
          <w:bCs/>
          <w:szCs w:val="28"/>
        </w:rPr>
        <w:t>2</w:t>
      </w:r>
      <w:r w:rsidR="00CF3E4E">
        <w:rPr>
          <w:bCs/>
          <w:szCs w:val="28"/>
        </w:rPr>
        <w:t>,1</w:t>
      </w:r>
      <w:r>
        <w:rPr>
          <w:bCs/>
          <w:szCs w:val="28"/>
        </w:rPr>
        <w:t xml:space="preserve"> тис.</w:t>
      </w:r>
      <w:r>
        <w:rPr>
          <w:bCs/>
          <w:szCs w:val="28"/>
          <w:lang w:val="ru-RU"/>
        </w:rPr>
        <w:t xml:space="preserve"> </w:t>
      </w:r>
      <w:r>
        <w:rPr>
          <w:bCs/>
          <w:szCs w:val="28"/>
        </w:rPr>
        <w:t xml:space="preserve">гривень </w:t>
      </w:r>
      <w:r w:rsidR="00CF3E4E">
        <w:rPr>
          <w:bCs/>
          <w:szCs w:val="28"/>
        </w:rPr>
        <w:t>біль</w:t>
      </w:r>
      <w:r>
        <w:rPr>
          <w:bCs/>
          <w:szCs w:val="28"/>
        </w:rPr>
        <w:t>ше</w:t>
      </w:r>
      <w:r w:rsidR="00CF3E4E">
        <w:rPr>
          <w:bCs/>
          <w:szCs w:val="28"/>
        </w:rPr>
        <w:t>.</w:t>
      </w:r>
    </w:p>
    <w:p w:rsidR="00CF3E4E" w:rsidRDefault="00CF3E4E" w:rsidP="000B1B98">
      <w:pPr>
        <w:ind w:firstLine="708"/>
        <w:jc w:val="both"/>
        <w:rPr>
          <w:bCs/>
          <w:szCs w:val="28"/>
        </w:rPr>
      </w:pPr>
    </w:p>
    <w:p w:rsidR="000B1B98" w:rsidRDefault="000B1B98" w:rsidP="000B1B98">
      <w:pPr>
        <w:ind w:firstLine="708"/>
        <w:jc w:val="center"/>
        <w:rPr>
          <w:b/>
          <w:bCs/>
          <w:szCs w:val="28"/>
        </w:rPr>
      </w:pPr>
      <w:r>
        <w:rPr>
          <w:b/>
          <w:bCs/>
          <w:szCs w:val="28"/>
        </w:rPr>
        <w:t>«Рентна плата та плата за використання інших природних ресурсів»</w:t>
      </w:r>
    </w:p>
    <w:p w:rsidR="000B1B98" w:rsidRDefault="000B1B98" w:rsidP="000B1B98">
      <w:pPr>
        <w:ind w:firstLine="708"/>
        <w:jc w:val="center"/>
        <w:rPr>
          <w:b/>
          <w:bCs/>
          <w:szCs w:val="28"/>
        </w:rPr>
      </w:pPr>
    </w:p>
    <w:p w:rsidR="00F82FD3" w:rsidRPr="00F82FD3" w:rsidRDefault="00F82FD3" w:rsidP="000B1B98">
      <w:pPr>
        <w:ind w:firstLine="708"/>
        <w:jc w:val="both"/>
        <w:rPr>
          <w:bCs/>
          <w:iCs/>
          <w:szCs w:val="28"/>
        </w:rPr>
      </w:pPr>
      <w:r>
        <w:rPr>
          <w:bCs/>
          <w:iCs/>
          <w:szCs w:val="28"/>
        </w:rPr>
        <w:t>Розрахунок показника рентної плати за спеціальне використання лісових ресурсів на 202</w:t>
      </w:r>
      <w:r w:rsidR="00AC7A77">
        <w:rPr>
          <w:bCs/>
          <w:iCs/>
          <w:szCs w:val="28"/>
        </w:rPr>
        <w:t>5</w:t>
      </w:r>
      <w:r>
        <w:rPr>
          <w:bCs/>
          <w:iCs/>
          <w:szCs w:val="28"/>
        </w:rPr>
        <w:t xml:space="preserve"> рік здійснено із врахуванням очікуваних надходжень, термінів сплати, а також аналізу динаміки надходжень у попередніх періодах та без застосування індексації ставок, визначених в абсолютних значеннях.</w:t>
      </w:r>
    </w:p>
    <w:p w:rsidR="000B1B98" w:rsidRDefault="000B1B98" w:rsidP="000B1B98">
      <w:pPr>
        <w:ind w:firstLine="708"/>
        <w:jc w:val="both"/>
        <w:rPr>
          <w:bCs/>
          <w:szCs w:val="28"/>
        </w:rPr>
      </w:pPr>
      <w:r>
        <w:rPr>
          <w:bCs/>
          <w:i/>
          <w:szCs w:val="28"/>
        </w:rPr>
        <w:t xml:space="preserve">Рентна плата за спеціальне використання лісових ресурсів в частині деревини, заготовленої в порядку рубок головного користування зараховується у пропорціях: 37% - до державного фонду державного бюджету, 26% - до спеціального фонду державного бюджету та 37% - до загального фонду місцевих бюджетів. </w:t>
      </w:r>
      <w:r w:rsidR="00AC7A77" w:rsidRPr="00AC7A77">
        <w:rPr>
          <w:bCs/>
          <w:iCs/>
          <w:szCs w:val="28"/>
        </w:rPr>
        <w:t>Н</w:t>
      </w:r>
      <w:r>
        <w:rPr>
          <w:bCs/>
          <w:szCs w:val="28"/>
        </w:rPr>
        <w:t>а 202</w:t>
      </w:r>
      <w:r w:rsidR="00AC7A77">
        <w:rPr>
          <w:bCs/>
          <w:szCs w:val="28"/>
        </w:rPr>
        <w:t>5</w:t>
      </w:r>
      <w:r>
        <w:rPr>
          <w:bCs/>
          <w:szCs w:val="28"/>
        </w:rPr>
        <w:t xml:space="preserve"> рік обрахована рентна плата в сумі </w:t>
      </w:r>
      <w:r w:rsidR="007F2DE2">
        <w:rPr>
          <w:bCs/>
          <w:szCs w:val="28"/>
        </w:rPr>
        <w:t>2 </w:t>
      </w:r>
      <w:r w:rsidR="00AC7A77">
        <w:rPr>
          <w:bCs/>
          <w:szCs w:val="28"/>
        </w:rPr>
        <w:t>7</w:t>
      </w:r>
      <w:r w:rsidR="007F2DE2">
        <w:rPr>
          <w:bCs/>
          <w:szCs w:val="28"/>
        </w:rPr>
        <w:t>00,0</w:t>
      </w:r>
      <w:r>
        <w:rPr>
          <w:bCs/>
          <w:szCs w:val="28"/>
        </w:rPr>
        <w:t xml:space="preserve"> тис. гривень, що на </w:t>
      </w:r>
      <w:r w:rsidR="00AC7A77">
        <w:rPr>
          <w:bCs/>
          <w:szCs w:val="28"/>
        </w:rPr>
        <w:t>46,9</w:t>
      </w:r>
      <w:r>
        <w:rPr>
          <w:bCs/>
          <w:szCs w:val="28"/>
        </w:rPr>
        <w:t xml:space="preserve"> тис. гривень більше надходжень 202</w:t>
      </w:r>
      <w:r w:rsidR="00AC7A77">
        <w:rPr>
          <w:bCs/>
          <w:szCs w:val="28"/>
        </w:rPr>
        <w:t>4</w:t>
      </w:r>
      <w:r>
        <w:rPr>
          <w:bCs/>
          <w:szCs w:val="28"/>
        </w:rPr>
        <w:t xml:space="preserve"> року.</w:t>
      </w:r>
    </w:p>
    <w:p w:rsidR="000B1B98" w:rsidRDefault="000B1B98" w:rsidP="000B1B98">
      <w:pPr>
        <w:ind w:firstLine="708"/>
        <w:jc w:val="both"/>
        <w:rPr>
          <w:bCs/>
          <w:szCs w:val="28"/>
        </w:rPr>
      </w:pPr>
      <w:r>
        <w:rPr>
          <w:bCs/>
          <w:i/>
          <w:szCs w:val="28"/>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r>
        <w:rPr>
          <w:bCs/>
          <w:szCs w:val="28"/>
        </w:rPr>
        <w:t xml:space="preserve">прогнозується в сумі </w:t>
      </w:r>
      <w:r w:rsidR="007F2DE2">
        <w:rPr>
          <w:bCs/>
          <w:szCs w:val="28"/>
        </w:rPr>
        <w:t>2 </w:t>
      </w:r>
      <w:r w:rsidR="0057406A">
        <w:rPr>
          <w:bCs/>
          <w:szCs w:val="28"/>
        </w:rPr>
        <w:t>1</w:t>
      </w:r>
      <w:r w:rsidR="007F2DE2">
        <w:rPr>
          <w:bCs/>
          <w:szCs w:val="28"/>
        </w:rPr>
        <w:t>00,0</w:t>
      </w:r>
      <w:r>
        <w:rPr>
          <w:bCs/>
          <w:szCs w:val="28"/>
        </w:rPr>
        <w:t xml:space="preserve"> тис. гривень, що на </w:t>
      </w:r>
      <w:r w:rsidR="0057406A">
        <w:rPr>
          <w:bCs/>
          <w:szCs w:val="28"/>
        </w:rPr>
        <w:t>137,1</w:t>
      </w:r>
      <w:r>
        <w:rPr>
          <w:bCs/>
          <w:szCs w:val="28"/>
        </w:rPr>
        <w:t xml:space="preserve"> тис. гривень більше надходжень  202</w:t>
      </w:r>
      <w:r w:rsidR="0057406A">
        <w:rPr>
          <w:bCs/>
          <w:szCs w:val="28"/>
        </w:rPr>
        <w:t>4</w:t>
      </w:r>
      <w:r>
        <w:rPr>
          <w:bCs/>
          <w:szCs w:val="28"/>
        </w:rPr>
        <w:t xml:space="preserve"> року.</w:t>
      </w:r>
    </w:p>
    <w:p w:rsidR="000B1B98" w:rsidRDefault="000B1B98" w:rsidP="000B1B98">
      <w:pPr>
        <w:ind w:firstLine="708"/>
        <w:jc w:val="both"/>
        <w:rPr>
          <w:bCs/>
          <w:szCs w:val="28"/>
        </w:rPr>
      </w:pPr>
      <w:r>
        <w:rPr>
          <w:bCs/>
          <w:szCs w:val="28"/>
        </w:rPr>
        <w:t xml:space="preserve"> </w:t>
      </w:r>
      <w:r>
        <w:rPr>
          <w:bCs/>
          <w:i/>
          <w:szCs w:val="28"/>
        </w:rPr>
        <w:t xml:space="preserve">Рентна плата за користування надрами для видобування інших корисних копалин загальнодержавного значення </w:t>
      </w:r>
      <w:r>
        <w:rPr>
          <w:bCs/>
          <w:szCs w:val="28"/>
        </w:rPr>
        <w:t xml:space="preserve">обраховані в сумі </w:t>
      </w:r>
      <w:r w:rsidR="0057406A">
        <w:rPr>
          <w:bCs/>
          <w:szCs w:val="28"/>
        </w:rPr>
        <w:t>20</w:t>
      </w:r>
      <w:r w:rsidR="007F2DE2">
        <w:rPr>
          <w:bCs/>
          <w:szCs w:val="28"/>
        </w:rPr>
        <w:t>,0</w:t>
      </w:r>
      <w:r>
        <w:rPr>
          <w:bCs/>
          <w:szCs w:val="28"/>
        </w:rPr>
        <w:t xml:space="preserve"> тис. гривень, або на </w:t>
      </w:r>
      <w:r w:rsidR="007F2DE2">
        <w:rPr>
          <w:bCs/>
          <w:szCs w:val="28"/>
        </w:rPr>
        <w:t>рівні 202</w:t>
      </w:r>
      <w:r w:rsidR="0057406A">
        <w:rPr>
          <w:bCs/>
          <w:szCs w:val="28"/>
        </w:rPr>
        <w:t>4</w:t>
      </w:r>
      <w:r w:rsidR="007F2DE2">
        <w:rPr>
          <w:bCs/>
          <w:szCs w:val="28"/>
        </w:rPr>
        <w:t xml:space="preserve"> року</w:t>
      </w:r>
      <w:r>
        <w:rPr>
          <w:bCs/>
          <w:szCs w:val="28"/>
        </w:rPr>
        <w:t>.</w:t>
      </w:r>
    </w:p>
    <w:p w:rsidR="000B1B98" w:rsidRDefault="000B1B98" w:rsidP="000B1B98">
      <w:pPr>
        <w:ind w:firstLine="708"/>
        <w:jc w:val="both"/>
        <w:rPr>
          <w:bCs/>
          <w:szCs w:val="28"/>
        </w:rPr>
      </w:pPr>
    </w:p>
    <w:p w:rsidR="000B1B98" w:rsidRDefault="000B1B98" w:rsidP="000B1B98">
      <w:pPr>
        <w:ind w:firstLine="708"/>
        <w:jc w:val="center"/>
        <w:rPr>
          <w:b/>
          <w:bCs/>
          <w:szCs w:val="28"/>
        </w:rPr>
      </w:pPr>
      <w:r>
        <w:rPr>
          <w:b/>
          <w:bCs/>
          <w:szCs w:val="28"/>
        </w:rPr>
        <w:t>«Акцизний податок»</w:t>
      </w:r>
    </w:p>
    <w:p w:rsidR="000B1B98" w:rsidRDefault="000B1B98" w:rsidP="000B1B98">
      <w:pPr>
        <w:ind w:firstLine="708"/>
        <w:jc w:val="center"/>
        <w:rPr>
          <w:b/>
          <w:bCs/>
          <w:szCs w:val="28"/>
        </w:rPr>
      </w:pPr>
    </w:p>
    <w:p w:rsidR="00753E77" w:rsidRDefault="002B39E7" w:rsidP="000B1B98">
      <w:pPr>
        <w:ind w:firstLine="708"/>
        <w:jc w:val="both"/>
        <w:rPr>
          <w:bCs/>
          <w:szCs w:val="28"/>
        </w:rPr>
      </w:pPr>
      <w:r>
        <w:rPr>
          <w:bCs/>
          <w:szCs w:val="28"/>
        </w:rPr>
        <w:t xml:space="preserve">Акцизний податок з реалізації суб’єктами господарювання роздрібної торгівлі підакцизних товарів зараховується до місцевих бюджетів відповідно до пункту 16 Бюджетного  кодексу України та підпункту 215.3.10 пункту 215.3 статті 215 Податкового кодексу України за встановленою ставкою в розмірі 5%.  </w:t>
      </w:r>
    </w:p>
    <w:p w:rsidR="000B1B98" w:rsidRDefault="000B1B98" w:rsidP="000B1B98">
      <w:pPr>
        <w:ind w:firstLine="708"/>
        <w:jc w:val="both"/>
        <w:rPr>
          <w:bCs/>
          <w:szCs w:val="28"/>
        </w:rPr>
      </w:pPr>
      <w:r>
        <w:rPr>
          <w:bCs/>
          <w:szCs w:val="28"/>
        </w:rPr>
        <w:t xml:space="preserve">Прогнозні показники </w:t>
      </w:r>
      <w:r>
        <w:rPr>
          <w:bCs/>
          <w:i/>
          <w:szCs w:val="28"/>
        </w:rPr>
        <w:t>акцизн</w:t>
      </w:r>
      <w:r w:rsidR="009F7CA2">
        <w:rPr>
          <w:bCs/>
          <w:i/>
          <w:szCs w:val="28"/>
        </w:rPr>
        <w:t>ого</w:t>
      </w:r>
      <w:r>
        <w:rPr>
          <w:bCs/>
          <w:i/>
          <w:szCs w:val="28"/>
        </w:rPr>
        <w:t xml:space="preserve"> податк</w:t>
      </w:r>
      <w:r w:rsidR="009F7CA2">
        <w:rPr>
          <w:bCs/>
          <w:i/>
          <w:szCs w:val="28"/>
        </w:rPr>
        <w:t>у</w:t>
      </w:r>
      <w:r>
        <w:rPr>
          <w:bCs/>
          <w:i/>
          <w:szCs w:val="28"/>
        </w:rPr>
        <w:t xml:space="preserve"> з реалізації виробниками та/або імпортерами, у тому числі в роздрібній торгівлі тютюнових виробів </w:t>
      </w:r>
      <w:r>
        <w:rPr>
          <w:bCs/>
          <w:szCs w:val="28"/>
        </w:rPr>
        <w:lastRenderedPageBreak/>
        <w:t xml:space="preserve">визначені в сумі </w:t>
      </w:r>
      <w:r w:rsidR="009F7CA2">
        <w:rPr>
          <w:bCs/>
          <w:szCs w:val="28"/>
        </w:rPr>
        <w:t>4 </w:t>
      </w:r>
      <w:r w:rsidR="00753E77">
        <w:rPr>
          <w:bCs/>
          <w:szCs w:val="28"/>
        </w:rPr>
        <w:t>0</w:t>
      </w:r>
      <w:r w:rsidR="009F7CA2">
        <w:rPr>
          <w:bCs/>
          <w:szCs w:val="28"/>
        </w:rPr>
        <w:t>00,0</w:t>
      </w:r>
      <w:r>
        <w:rPr>
          <w:bCs/>
          <w:szCs w:val="28"/>
        </w:rPr>
        <w:t xml:space="preserve"> тис. гривень, що на </w:t>
      </w:r>
      <w:r w:rsidR="002774DE">
        <w:rPr>
          <w:bCs/>
          <w:szCs w:val="28"/>
        </w:rPr>
        <w:t>1 657,6</w:t>
      </w:r>
      <w:r>
        <w:rPr>
          <w:bCs/>
          <w:szCs w:val="28"/>
        </w:rPr>
        <w:t xml:space="preserve"> тис. гривень більше</w:t>
      </w:r>
      <w:r w:rsidR="00CA26E4">
        <w:rPr>
          <w:bCs/>
          <w:szCs w:val="28"/>
        </w:rPr>
        <w:t xml:space="preserve"> очікуваних надходжень 2023 року</w:t>
      </w:r>
      <w:r>
        <w:rPr>
          <w:bCs/>
          <w:szCs w:val="28"/>
        </w:rPr>
        <w:t xml:space="preserve"> та </w:t>
      </w:r>
      <w:r>
        <w:rPr>
          <w:bCs/>
          <w:i/>
          <w:iCs/>
          <w:szCs w:val="28"/>
        </w:rPr>
        <w:t>акцизний податок з реалізації суб`єктами господарювання роздрібної торгівлі підакцизних товарів</w:t>
      </w:r>
      <w:r>
        <w:rPr>
          <w:bCs/>
          <w:szCs w:val="28"/>
        </w:rPr>
        <w:t xml:space="preserve"> обрахований в обсязі </w:t>
      </w:r>
      <w:r w:rsidR="00CA26E4">
        <w:rPr>
          <w:bCs/>
          <w:szCs w:val="28"/>
        </w:rPr>
        <w:t>4</w:t>
      </w:r>
      <w:r>
        <w:rPr>
          <w:bCs/>
          <w:szCs w:val="28"/>
        </w:rPr>
        <w:t> </w:t>
      </w:r>
      <w:r w:rsidR="00A667A1">
        <w:rPr>
          <w:bCs/>
          <w:szCs w:val="28"/>
        </w:rPr>
        <w:t>8</w:t>
      </w:r>
      <w:r>
        <w:rPr>
          <w:bCs/>
          <w:szCs w:val="28"/>
        </w:rPr>
        <w:t xml:space="preserve">00,0 тис. гривень, що на </w:t>
      </w:r>
      <w:r w:rsidR="00A667A1">
        <w:rPr>
          <w:bCs/>
          <w:szCs w:val="28"/>
        </w:rPr>
        <w:t>781,0</w:t>
      </w:r>
      <w:r>
        <w:rPr>
          <w:bCs/>
          <w:szCs w:val="28"/>
        </w:rPr>
        <w:t xml:space="preserve"> тис. гривень більше. </w:t>
      </w:r>
    </w:p>
    <w:p w:rsidR="000B1B98" w:rsidRDefault="002B39E7" w:rsidP="000B1B98">
      <w:pPr>
        <w:ind w:firstLine="708"/>
        <w:jc w:val="both"/>
        <w:rPr>
          <w:bCs/>
          <w:szCs w:val="28"/>
        </w:rPr>
      </w:pPr>
      <w:r>
        <w:rPr>
          <w:bCs/>
          <w:szCs w:val="28"/>
        </w:rPr>
        <w:t>Крім того, 13,4</w:t>
      </w:r>
      <w:r w:rsidR="00A667A1">
        <w:rPr>
          <w:bCs/>
          <w:szCs w:val="28"/>
        </w:rPr>
        <w:t>4</w:t>
      </w:r>
      <w:r>
        <w:rPr>
          <w:bCs/>
          <w:szCs w:val="28"/>
        </w:rPr>
        <w:t xml:space="preserve">% </w:t>
      </w:r>
      <w:r w:rsidR="00AD6079">
        <w:rPr>
          <w:bCs/>
          <w:szCs w:val="28"/>
        </w:rPr>
        <w:t xml:space="preserve">акцизного податку з виробленого в Україні та ввезеного на митну територію України пального </w:t>
      </w:r>
      <w:r w:rsidR="00105B0A">
        <w:rPr>
          <w:bCs/>
          <w:szCs w:val="28"/>
        </w:rPr>
        <w:t>та в</w:t>
      </w:r>
      <w:r w:rsidR="001D2F86">
        <w:rPr>
          <w:bCs/>
          <w:szCs w:val="28"/>
        </w:rPr>
        <w:t>ідповідно до пункту 16</w:t>
      </w:r>
      <w:r w:rsidR="001D2F86" w:rsidRPr="001D2F86">
        <w:rPr>
          <w:bCs/>
          <w:szCs w:val="28"/>
          <w:vertAlign w:val="superscript"/>
        </w:rPr>
        <w:t>1</w:t>
      </w:r>
      <w:r w:rsidR="001D2F86">
        <w:rPr>
          <w:bCs/>
          <w:szCs w:val="28"/>
        </w:rPr>
        <w:t xml:space="preserve"> частини першої статті 64 Бюджетного кодексу України 13,4</w:t>
      </w:r>
      <w:r w:rsidR="00A667A1">
        <w:rPr>
          <w:bCs/>
          <w:szCs w:val="28"/>
        </w:rPr>
        <w:t>4</w:t>
      </w:r>
      <w:r w:rsidR="001D2F86">
        <w:rPr>
          <w:bCs/>
          <w:szCs w:val="28"/>
        </w:rPr>
        <w:t>% акцизного податку з виробленого в Україні</w:t>
      </w:r>
      <w:r w:rsidR="00105B0A">
        <w:rPr>
          <w:bCs/>
          <w:szCs w:val="28"/>
        </w:rPr>
        <w:t xml:space="preserve"> пального зараховується до загального фонду бюджету.</w:t>
      </w:r>
    </w:p>
    <w:p w:rsidR="000B1B98" w:rsidRDefault="000B1B98" w:rsidP="000B1B98">
      <w:pPr>
        <w:ind w:firstLine="709"/>
        <w:jc w:val="both"/>
        <w:rPr>
          <w:bCs/>
          <w:szCs w:val="28"/>
        </w:rPr>
      </w:pPr>
      <w:r>
        <w:rPr>
          <w:bCs/>
          <w:szCs w:val="28"/>
        </w:rPr>
        <w:t xml:space="preserve">Прогнозні надходження акцизного податку з вироблених та ввезених в Україну підакцизних товарів (пального) визначено в сумі </w:t>
      </w:r>
      <w:r w:rsidR="0073737D">
        <w:rPr>
          <w:bCs/>
          <w:szCs w:val="28"/>
        </w:rPr>
        <w:t>8 600,0</w:t>
      </w:r>
      <w:r>
        <w:rPr>
          <w:bCs/>
          <w:szCs w:val="28"/>
        </w:rPr>
        <w:t xml:space="preserve"> тис. гривень, що на </w:t>
      </w:r>
      <w:r w:rsidR="006C5241">
        <w:rPr>
          <w:bCs/>
          <w:szCs w:val="28"/>
        </w:rPr>
        <w:t>1</w:t>
      </w:r>
      <w:r w:rsidR="0073737D">
        <w:rPr>
          <w:bCs/>
          <w:szCs w:val="28"/>
        </w:rPr>
        <w:t> 616,3</w:t>
      </w:r>
      <w:r>
        <w:rPr>
          <w:bCs/>
          <w:szCs w:val="28"/>
        </w:rPr>
        <w:t xml:space="preserve"> тис. гривень більше. </w:t>
      </w:r>
    </w:p>
    <w:p w:rsidR="000B1B98" w:rsidRDefault="000B1B98" w:rsidP="000B1B98">
      <w:pPr>
        <w:ind w:firstLine="708"/>
        <w:jc w:val="both"/>
        <w:rPr>
          <w:bCs/>
          <w:szCs w:val="28"/>
        </w:rPr>
      </w:pPr>
    </w:p>
    <w:p w:rsidR="000B1B98" w:rsidRDefault="000B1B98" w:rsidP="000B1B98">
      <w:pPr>
        <w:ind w:firstLine="708"/>
        <w:jc w:val="center"/>
        <w:rPr>
          <w:b/>
          <w:i/>
          <w:szCs w:val="28"/>
          <w:lang w:val="ru-RU"/>
        </w:rPr>
      </w:pPr>
      <w:r>
        <w:rPr>
          <w:b/>
          <w:i/>
          <w:szCs w:val="28"/>
          <w:lang w:val="ru-RU"/>
        </w:rPr>
        <w:t>Динаміка надходжень акцизного податку з пального</w:t>
      </w:r>
    </w:p>
    <w:p w:rsidR="000B1B98" w:rsidRDefault="000B1B98" w:rsidP="000B1B98">
      <w:pPr>
        <w:tabs>
          <w:tab w:val="left" w:pos="0"/>
        </w:tabs>
        <w:jc w:val="right"/>
        <w:rPr>
          <w:sz w:val="22"/>
          <w:szCs w:val="22"/>
        </w:rPr>
      </w:pPr>
      <w:r>
        <w:rPr>
          <w:sz w:val="22"/>
          <w:szCs w:val="22"/>
        </w:rPr>
        <w:t>тис.</w:t>
      </w:r>
      <w:r>
        <w:rPr>
          <w:sz w:val="22"/>
          <w:szCs w:val="22"/>
          <w:lang w:val="ru-RU"/>
        </w:rPr>
        <w:t xml:space="preserve"> </w:t>
      </w:r>
      <w:r>
        <w:rPr>
          <w:sz w:val="22"/>
          <w:szCs w:val="22"/>
        </w:rPr>
        <w:t>гривень</w:t>
      </w:r>
    </w:p>
    <w:tbl>
      <w:tblPr>
        <w:tblStyle w:val="a6"/>
        <w:tblW w:w="0" w:type="auto"/>
        <w:tblInd w:w="0" w:type="dxa"/>
        <w:tblLook w:val="04A0" w:firstRow="1" w:lastRow="0" w:firstColumn="1" w:lastColumn="0" w:noHBand="0" w:noVBand="1"/>
      </w:tblPr>
      <w:tblGrid>
        <w:gridCol w:w="3256"/>
        <w:gridCol w:w="2126"/>
        <w:gridCol w:w="1984"/>
        <w:gridCol w:w="1979"/>
      </w:tblGrid>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Показники</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Факт 202</w:t>
            </w:r>
            <w:r w:rsidR="0073737D">
              <w:rPr>
                <w:sz w:val="22"/>
                <w:szCs w:val="22"/>
                <w:lang w:eastAsia="uk-UA"/>
              </w:rPr>
              <w:t>3</w:t>
            </w:r>
            <w:r>
              <w:rPr>
                <w:sz w:val="22"/>
                <w:szCs w:val="22"/>
                <w:lang w:eastAsia="uk-UA"/>
              </w:rPr>
              <w:t xml:space="preserve"> року </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Очікуване за 202</w:t>
            </w:r>
            <w:r w:rsidR="0073737D">
              <w:rPr>
                <w:sz w:val="22"/>
                <w:szCs w:val="22"/>
                <w:lang w:eastAsia="uk-UA"/>
              </w:rPr>
              <w:t>4</w:t>
            </w:r>
            <w:r>
              <w:rPr>
                <w:sz w:val="22"/>
                <w:szCs w:val="22"/>
                <w:lang w:eastAsia="uk-UA"/>
              </w:rPr>
              <w:t xml:space="preserve"> рік</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Прогноз на 202</w:t>
            </w:r>
            <w:r w:rsidR="0073737D">
              <w:rPr>
                <w:sz w:val="22"/>
                <w:szCs w:val="22"/>
                <w:lang w:eastAsia="uk-UA"/>
              </w:rPr>
              <w:t>5</w:t>
            </w:r>
            <w:r>
              <w:rPr>
                <w:sz w:val="22"/>
                <w:szCs w:val="22"/>
                <w:lang w:eastAsia="uk-UA"/>
              </w:rPr>
              <w:t xml:space="preserve"> рік</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b/>
                <w:sz w:val="22"/>
                <w:szCs w:val="22"/>
                <w:lang w:eastAsia="uk-UA"/>
              </w:rPr>
            </w:pPr>
            <w:r>
              <w:rPr>
                <w:b/>
                <w:sz w:val="22"/>
                <w:szCs w:val="22"/>
                <w:lang w:eastAsia="uk-UA"/>
              </w:rPr>
              <w:t>Обсяг надходжень до бюджету Тростянецької МТГ всього,</w:t>
            </w:r>
          </w:p>
          <w:p w:rsidR="000B1B98" w:rsidRDefault="000B1B98">
            <w:pPr>
              <w:tabs>
                <w:tab w:val="left" w:pos="0"/>
              </w:tabs>
              <w:jc w:val="both"/>
              <w:rPr>
                <w:b/>
                <w:sz w:val="22"/>
                <w:szCs w:val="22"/>
                <w:lang w:eastAsia="uk-UA"/>
              </w:rPr>
            </w:pPr>
            <w:r>
              <w:rPr>
                <w:b/>
                <w:sz w:val="22"/>
                <w:szCs w:val="22"/>
                <w:lang w:eastAsia="uk-UA"/>
              </w:rPr>
              <w:t>у тому числі:</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b/>
                <w:sz w:val="22"/>
                <w:szCs w:val="22"/>
                <w:lang w:eastAsia="uk-UA"/>
              </w:rPr>
            </w:pPr>
            <w:r>
              <w:rPr>
                <w:b/>
                <w:sz w:val="22"/>
                <w:szCs w:val="22"/>
                <w:lang w:eastAsia="uk-UA"/>
              </w:rPr>
              <w:t>4 893,7</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b/>
                <w:sz w:val="22"/>
                <w:szCs w:val="22"/>
                <w:lang w:eastAsia="uk-UA"/>
              </w:rPr>
            </w:pPr>
            <w:r>
              <w:rPr>
                <w:b/>
                <w:sz w:val="22"/>
                <w:szCs w:val="22"/>
                <w:lang w:eastAsia="uk-UA"/>
              </w:rPr>
              <w:t>6 983,7</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b/>
                <w:sz w:val="22"/>
                <w:szCs w:val="22"/>
                <w:lang w:eastAsia="uk-UA"/>
              </w:rPr>
            </w:pPr>
            <w:r>
              <w:rPr>
                <w:b/>
                <w:sz w:val="22"/>
                <w:szCs w:val="22"/>
                <w:lang w:eastAsia="uk-UA"/>
              </w:rPr>
              <w:t>8 600,0</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i/>
                <w:sz w:val="22"/>
                <w:szCs w:val="22"/>
                <w:lang w:eastAsia="uk-UA"/>
              </w:rPr>
            </w:pPr>
            <w:r>
              <w:rPr>
                <w:i/>
                <w:sz w:val="22"/>
                <w:szCs w:val="22"/>
                <w:lang w:eastAsia="uk-UA"/>
              </w:rPr>
              <w:t>Акцизний податок з вироблених в Україні підакцизних товарів (ККД 14021900)</w:t>
            </w:r>
          </w:p>
        </w:tc>
        <w:tc>
          <w:tcPr>
            <w:tcW w:w="2126" w:type="dxa"/>
            <w:tcBorders>
              <w:top w:val="single" w:sz="4" w:space="0" w:color="auto"/>
              <w:left w:val="single" w:sz="4" w:space="0" w:color="auto"/>
              <w:bottom w:val="single" w:sz="4" w:space="0" w:color="auto"/>
              <w:right w:val="single" w:sz="4" w:space="0" w:color="auto"/>
            </w:tcBorders>
          </w:tcPr>
          <w:p w:rsidR="000B1B98" w:rsidRDefault="0073737D">
            <w:pPr>
              <w:tabs>
                <w:tab w:val="left" w:pos="0"/>
              </w:tabs>
              <w:jc w:val="center"/>
              <w:rPr>
                <w:i/>
                <w:sz w:val="22"/>
                <w:szCs w:val="22"/>
                <w:lang w:eastAsia="uk-UA"/>
              </w:rPr>
            </w:pPr>
            <w:r>
              <w:rPr>
                <w:i/>
                <w:sz w:val="22"/>
                <w:szCs w:val="22"/>
                <w:lang w:eastAsia="uk-UA"/>
              </w:rPr>
              <w:t>1 022,1</w:t>
            </w:r>
          </w:p>
          <w:p w:rsidR="000B1B98" w:rsidRDefault="000B1B98">
            <w:pPr>
              <w:tabs>
                <w:tab w:val="left" w:pos="0"/>
              </w:tabs>
              <w:rPr>
                <w:i/>
                <w:sz w:val="22"/>
                <w:szCs w:val="22"/>
                <w:lang w:eastAsia="uk-UA"/>
              </w:rPr>
            </w:pPr>
          </w:p>
        </w:tc>
        <w:tc>
          <w:tcPr>
            <w:tcW w:w="1984"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i/>
                <w:sz w:val="22"/>
                <w:szCs w:val="22"/>
                <w:lang w:eastAsia="uk-UA"/>
              </w:rPr>
            </w:pPr>
            <w:r>
              <w:rPr>
                <w:i/>
                <w:sz w:val="22"/>
                <w:szCs w:val="22"/>
                <w:lang w:eastAsia="uk-UA"/>
              </w:rPr>
              <w:t>953,0</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i/>
                <w:sz w:val="22"/>
                <w:szCs w:val="22"/>
                <w:lang w:eastAsia="uk-UA"/>
              </w:rPr>
            </w:pPr>
            <w:r>
              <w:rPr>
                <w:i/>
                <w:sz w:val="22"/>
                <w:szCs w:val="22"/>
                <w:lang w:eastAsia="uk-UA"/>
              </w:rPr>
              <w:t>1 100,0</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i/>
                <w:sz w:val="22"/>
                <w:szCs w:val="22"/>
                <w:lang w:eastAsia="uk-UA"/>
              </w:rPr>
            </w:pPr>
            <w:r>
              <w:rPr>
                <w:i/>
                <w:sz w:val="22"/>
                <w:szCs w:val="22"/>
                <w:lang w:eastAsia="uk-UA"/>
              </w:rPr>
              <w:t>Акцизний податок з ввезених на митну територію України підакцизних (ККД 14031900)</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i/>
                <w:sz w:val="22"/>
                <w:szCs w:val="22"/>
                <w:lang w:eastAsia="uk-UA"/>
              </w:rPr>
            </w:pPr>
            <w:r>
              <w:rPr>
                <w:i/>
                <w:sz w:val="22"/>
                <w:szCs w:val="22"/>
                <w:lang w:eastAsia="uk-UA"/>
              </w:rPr>
              <w:t>3 871,6</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i/>
                <w:sz w:val="22"/>
                <w:szCs w:val="22"/>
                <w:lang w:eastAsia="uk-UA"/>
              </w:rPr>
            </w:pPr>
            <w:r>
              <w:rPr>
                <w:i/>
                <w:sz w:val="22"/>
                <w:szCs w:val="22"/>
                <w:lang w:eastAsia="uk-UA"/>
              </w:rPr>
              <w:t>6 030,7</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73737D">
            <w:pPr>
              <w:tabs>
                <w:tab w:val="left" w:pos="0"/>
              </w:tabs>
              <w:jc w:val="center"/>
              <w:rPr>
                <w:i/>
                <w:sz w:val="22"/>
                <w:szCs w:val="22"/>
                <w:lang w:eastAsia="uk-UA"/>
              </w:rPr>
            </w:pPr>
            <w:r>
              <w:rPr>
                <w:i/>
                <w:sz w:val="22"/>
                <w:szCs w:val="22"/>
                <w:lang w:eastAsia="uk-UA"/>
              </w:rPr>
              <w:t>7 500,0</w:t>
            </w:r>
          </w:p>
        </w:tc>
      </w:tr>
    </w:tbl>
    <w:p w:rsidR="000B1B98" w:rsidRDefault="000B1B98" w:rsidP="000B1B98">
      <w:pPr>
        <w:ind w:firstLine="708"/>
        <w:jc w:val="center"/>
        <w:rPr>
          <w:szCs w:val="28"/>
          <w:lang w:val="ru-RU"/>
        </w:rPr>
      </w:pPr>
    </w:p>
    <w:p w:rsidR="000B1B98" w:rsidRDefault="000B1B98" w:rsidP="000B1B98">
      <w:pPr>
        <w:ind w:firstLine="708"/>
        <w:jc w:val="center"/>
        <w:rPr>
          <w:b/>
          <w:szCs w:val="28"/>
          <w:lang w:val="ru-RU"/>
        </w:rPr>
      </w:pPr>
      <w:r>
        <w:rPr>
          <w:b/>
          <w:szCs w:val="28"/>
          <w:lang w:val="ru-RU"/>
        </w:rPr>
        <w:t>«Місцеві податки»</w:t>
      </w:r>
    </w:p>
    <w:p w:rsidR="000B1B98" w:rsidRDefault="000B1B98" w:rsidP="000B1B98">
      <w:pPr>
        <w:ind w:firstLine="708"/>
        <w:jc w:val="center"/>
        <w:rPr>
          <w:b/>
          <w:szCs w:val="28"/>
          <w:lang w:val="ru-RU"/>
        </w:rPr>
      </w:pPr>
    </w:p>
    <w:p w:rsidR="000B1B98" w:rsidRDefault="000B1B98" w:rsidP="000B1B98">
      <w:pPr>
        <w:ind w:firstLine="708"/>
        <w:jc w:val="both"/>
        <w:rPr>
          <w:szCs w:val="28"/>
          <w:lang w:val="ru-RU"/>
        </w:rPr>
      </w:pPr>
      <w:r>
        <w:rPr>
          <w:szCs w:val="28"/>
          <w:lang w:val="ru-RU"/>
        </w:rPr>
        <w:t xml:space="preserve">Друге місце за обсягом надходжень до загального фонду бюджету Тростянецької міської територіальної громади належить до місцевих податків і зборів, питома вага яких становить </w:t>
      </w:r>
      <w:r w:rsidR="00A870DF">
        <w:rPr>
          <w:szCs w:val="28"/>
          <w:lang w:val="ru-RU"/>
        </w:rPr>
        <w:t>29,</w:t>
      </w:r>
      <w:r w:rsidR="002F3823">
        <w:rPr>
          <w:szCs w:val="28"/>
          <w:lang w:val="ru-RU"/>
        </w:rPr>
        <w:t>4</w:t>
      </w:r>
      <w:r>
        <w:rPr>
          <w:szCs w:val="28"/>
          <w:lang w:val="ru-RU"/>
        </w:rPr>
        <w:t>%. Ставки місцевих податків і зборів на 202</w:t>
      </w:r>
      <w:r w:rsidR="002F3823">
        <w:rPr>
          <w:szCs w:val="28"/>
          <w:lang w:val="ru-RU"/>
        </w:rPr>
        <w:t>5</w:t>
      </w:r>
      <w:r>
        <w:rPr>
          <w:szCs w:val="28"/>
          <w:lang w:val="ru-RU"/>
        </w:rPr>
        <w:t xml:space="preserve"> рік прийняті рішенням Тростянецької міської ради від 14.07.2021 № 798 «Про встановлення місцевих податків та зборів на території Тростянецької міської територіальної громади з 01.01.2022 року».</w:t>
      </w:r>
    </w:p>
    <w:p w:rsidR="000B1B98" w:rsidRDefault="000B1B98" w:rsidP="000B1B98">
      <w:pPr>
        <w:ind w:firstLine="708"/>
        <w:jc w:val="both"/>
        <w:rPr>
          <w:szCs w:val="28"/>
          <w:lang w:val="ru-RU"/>
        </w:rPr>
      </w:pPr>
      <w:r>
        <w:rPr>
          <w:szCs w:val="28"/>
          <w:lang w:val="ru-RU"/>
        </w:rPr>
        <w:t>Прогнозна сума місцевих податків і зборів, які</w:t>
      </w:r>
      <w:r w:rsidR="00B17776">
        <w:rPr>
          <w:szCs w:val="28"/>
          <w:lang w:val="ru-RU"/>
        </w:rPr>
        <w:t xml:space="preserve"> </w:t>
      </w:r>
      <w:r>
        <w:rPr>
          <w:szCs w:val="28"/>
          <w:lang w:val="ru-RU"/>
        </w:rPr>
        <w:t xml:space="preserve">будуть надходити до бюджету Тростянецьткої МТГ становить </w:t>
      </w:r>
      <w:r w:rsidR="002F3823">
        <w:rPr>
          <w:szCs w:val="28"/>
          <w:lang w:val="ru-RU"/>
        </w:rPr>
        <w:t>70 040,9</w:t>
      </w:r>
      <w:r>
        <w:rPr>
          <w:szCs w:val="28"/>
          <w:lang w:val="ru-RU"/>
        </w:rPr>
        <w:t xml:space="preserve"> тис. гривень, що на </w:t>
      </w:r>
      <w:r w:rsidR="002F3823">
        <w:rPr>
          <w:szCs w:val="28"/>
          <w:lang w:val="ru-RU"/>
        </w:rPr>
        <w:t>2 760,0</w:t>
      </w:r>
      <w:r>
        <w:rPr>
          <w:szCs w:val="28"/>
          <w:lang w:val="ru-RU"/>
        </w:rPr>
        <w:t xml:space="preserve"> тис. гривень більше, приріст </w:t>
      </w:r>
      <w:r w:rsidR="002F3823">
        <w:rPr>
          <w:szCs w:val="28"/>
          <w:lang w:val="ru-RU"/>
        </w:rPr>
        <w:t>4,0</w:t>
      </w:r>
      <w:r>
        <w:rPr>
          <w:szCs w:val="28"/>
          <w:lang w:val="ru-RU"/>
        </w:rPr>
        <w:t>%.</w:t>
      </w:r>
    </w:p>
    <w:p w:rsidR="000B1B98" w:rsidRDefault="000B1B98" w:rsidP="000B1B98">
      <w:pPr>
        <w:ind w:firstLine="708"/>
        <w:jc w:val="both"/>
        <w:rPr>
          <w:szCs w:val="28"/>
          <w:lang w:val="ru-RU"/>
        </w:rPr>
      </w:pPr>
    </w:p>
    <w:p w:rsidR="000B1B98" w:rsidRDefault="000B1B98" w:rsidP="000B1B98">
      <w:pPr>
        <w:ind w:firstLine="708"/>
        <w:jc w:val="center"/>
        <w:rPr>
          <w:b/>
          <w:i/>
          <w:szCs w:val="28"/>
          <w:lang w:val="ru-RU"/>
        </w:rPr>
      </w:pPr>
      <w:r>
        <w:rPr>
          <w:b/>
          <w:i/>
          <w:szCs w:val="28"/>
          <w:lang w:val="ru-RU"/>
        </w:rPr>
        <w:t>Податок на нерухоме майно, відмінне від земельної ділянки</w:t>
      </w:r>
    </w:p>
    <w:p w:rsidR="000B1B98" w:rsidRDefault="000B1B98" w:rsidP="000B1B98">
      <w:pPr>
        <w:ind w:firstLine="708"/>
        <w:jc w:val="center"/>
        <w:rPr>
          <w:b/>
          <w:i/>
          <w:szCs w:val="28"/>
          <w:lang w:val="ru-RU"/>
        </w:rPr>
      </w:pPr>
    </w:p>
    <w:p w:rsidR="002F3823" w:rsidRDefault="000B1B98" w:rsidP="000B1B98">
      <w:pPr>
        <w:ind w:firstLine="708"/>
        <w:jc w:val="both"/>
        <w:rPr>
          <w:szCs w:val="28"/>
          <w:lang w:val="ru-RU"/>
        </w:rPr>
      </w:pPr>
      <w:r>
        <w:rPr>
          <w:szCs w:val="28"/>
          <w:lang w:val="ru-RU"/>
        </w:rPr>
        <w:t>Розрахунок податку на нерухоме майно, відмінне від земельної ділянки на 202</w:t>
      </w:r>
      <w:r w:rsidR="00394224">
        <w:rPr>
          <w:szCs w:val="28"/>
          <w:lang w:val="ru-RU"/>
        </w:rPr>
        <w:t>4</w:t>
      </w:r>
      <w:r>
        <w:rPr>
          <w:szCs w:val="28"/>
          <w:lang w:val="ru-RU"/>
        </w:rPr>
        <w:t xml:space="preserve"> рік проведено для об'єктів житлової та комерційної нерухомості, фізичних та юридичних осіб. При розрахунку враховано підпункт 69.22 пункту 69 підрозділу 10 розділу ХХ Податкового кодексу України, який визначає порядок сплати такого податку в умовах воєнного стану.</w:t>
      </w:r>
      <w:r w:rsidR="004B2353">
        <w:rPr>
          <w:szCs w:val="28"/>
          <w:lang w:val="ru-RU"/>
        </w:rPr>
        <w:t xml:space="preserve"> </w:t>
      </w:r>
    </w:p>
    <w:p w:rsidR="000B1B98" w:rsidRDefault="000B1B98" w:rsidP="000B1B98">
      <w:pPr>
        <w:ind w:firstLine="708"/>
        <w:jc w:val="both"/>
        <w:rPr>
          <w:szCs w:val="28"/>
          <w:lang w:val="ru-RU"/>
        </w:rPr>
      </w:pPr>
      <w:r>
        <w:rPr>
          <w:szCs w:val="28"/>
          <w:lang w:val="ru-RU"/>
        </w:rPr>
        <w:t xml:space="preserve">Податок на нерухоме майно, відмінне від земельної ділянки для фізичних осіб, враховуючи діюче законодавство,  обраховано в сумі </w:t>
      </w:r>
      <w:r w:rsidR="002F3823">
        <w:rPr>
          <w:szCs w:val="28"/>
          <w:lang w:val="ru-RU"/>
        </w:rPr>
        <w:t>1 460,0</w:t>
      </w:r>
      <w:r>
        <w:rPr>
          <w:szCs w:val="28"/>
          <w:lang w:val="ru-RU"/>
        </w:rPr>
        <w:t xml:space="preserve"> </w:t>
      </w:r>
      <w:r>
        <w:rPr>
          <w:szCs w:val="28"/>
          <w:lang w:val="ru-RU"/>
        </w:rPr>
        <w:lastRenderedPageBreak/>
        <w:t xml:space="preserve">тис. гривень, що на </w:t>
      </w:r>
      <w:r w:rsidR="002F3823">
        <w:rPr>
          <w:szCs w:val="28"/>
          <w:lang w:val="ru-RU"/>
        </w:rPr>
        <w:t>49,2</w:t>
      </w:r>
      <w:r>
        <w:rPr>
          <w:szCs w:val="28"/>
          <w:lang w:val="ru-RU"/>
        </w:rPr>
        <w:t xml:space="preserve"> тис. гривень більше. Податок для юридичних осіб обраховано в сумі </w:t>
      </w:r>
      <w:r w:rsidR="0092743E">
        <w:rPr>
          <w:szCs w:val="28"/>
          <w:lang w:val="ru-RU"/>
        </w:rPr>
        <w:t>1 360,0</w:t>
      </w:r>
      <w:r>
        <w:rPr>
          <w:szCs w:val="28"/>
          <w:lang w:val="ru-RU"/>
        </w:rPr>
        <w:t xml:space="preserve"> тис. гривень, що на </w:t>
      </w:r>
      <w:r w:rsidR="0092743E">
        <w:rPr>
          <w:szCs w:val="28"/>
          <w:lang w:val="ru-RU"/>
        </w:rPr>
        <w:t>30,7</w:t>
      </w:r>
      <w:r>
        <w:rPr>
          <w:szCs w:val="28"/>
          <w:lang w:val="ru-RU"/>
        </w:rPr>
        <w:t xml:space="preserve"> тис. гривень більше.</w:t>
      </w:r>
    </w:p>
    <w:p w:rsidR="000B1B98" w:rsidRDefault="000B1B98" w:rsidP="000B1B98">
      <w:pPr>
        <w:ind w:firstLine="708"/>
        <w:jc w:val="both"/>
        <w:rPr>
          <w:szCs w:val="28"/>
          <w:lang w:val="ru-RU"/>
        </w:rPr>
      </w:pPr>
    </w:p>
    <w:p w:rsidR="000B1B98" w:rsidRDefault="000B1B98" w:rsidP="000B1B98">
      <w:pPr>
        <w:ind w:firstLine="708"/>
        <w:jc w:val="center"/>
        <w:rPr>
          <w:b/>
          <w:i/>
          <w:szCs w:val="28"/>
          <w:lang w:val="ru-RU"/>
        </w:rPr>
      </w:pPr>
      <w:r>
        <w:rPr>
          <w:b/>
          <w:i/>
          <w:szCs w:val="28"/>
          <w:lang w:val="ru-RU"/>
        </w:rPr>
        <w:t>Плата за землю</w:t>
      </w:r>
    </w:p>
    <w:p w:rsidR="000B1B98" w:rsidRDefault="000B1B98" w:rsidP="000B1B98">
      <w:pPr>
        <w:ind w:firstLine="708"/>
        <w:jc w:val="both"/>
        <w:rPr>
          <w:szCs w:val="28"/>
          <w:lang w:val="ru-RU"/>
        </w:rPr>
      </w:pPr>
      <w:r>
        <w:rPr>
          <w:szCs w:val="28"/>
          <w:lang w:val="ru-RU"/>
        </w:rPr>
        <w:t>Обсяг надходжень плати за землю на 202</w:t>
      </w:r>
      <w:r w:rsidR="00A7169C">
        <w:rPr>
          <w:szCs w:val="28"/>
          <w:lang w:val="ru-RU"/>
        </w:rPr>
        <w:t>5</w:t>
      </w:r>
      <w:r>
        <w:rPr>
          <w:szCs w:val="28"/>
          <w:lang w:val="ru-RU"/>
        </w:rPr>
        <w:t xml:space="preserve"> рік обраховано в сумі </w:t>
      </w:r>
      <w:r w:rsidR="00A7169C">
        <w:rPr>
          <w:szCs w:val="28"/>
          <w:lang w:val="ru-RU"/>
        </w:rPr>
        <w:t>37446,3</w:t>
      </w:r>
      <w:r>
        <w:rPr>
          <w:szCs w:val="28"/>
          <w:lang w:val="ru-RU"/>
        </w:rPr>
        <w:t xml:space="preserve"> тис. гривень, що на </w:t>
      </w:r>
      <w:r w:rsidR="00A7169C">
        <w:rPr>
          <w:szCs w:val="28"/>
          <w:lang w:val="ru-RU"/>
        </w:rPr>
        <w:t>1 722,1</w:t>
      </w:r>
      <w:r>
        <w:rPr>
          <w:szCs w:val="28"/>
          <w:lang w:val="ru-RU"/>
        </w:rPr>
        <w:t xml:space="preserve"> тис. гривень більше, приріст </w:t>
      </w:r>
      <w:r w:rsidR="00A7169C">
        <w:rPr>
          <w:szCs w:val="28"/>
          <w:lang w:val="ru-RU"/>
        </w:rPr>
        <w:t>4,8</w:t>
      </w:r>
      <w:r>
        <w:rPr>
          <w:szCs w:val="28"/>
          <w:lang w:val="ru-RU"/>
        </w:rPr>
        <w:t>% та враховує:</w:t>
      </w:r>
    </w:p>
    <w:p w:rsidR="000B1B98" w:rsidRDefault="000B1B98" w:rsidP="000B1B98">
      <w:pPr>
        <w:ind w:firstLine="708"/>
        <w:jc w:val="both"/>
        <w:rPr>
          <w:szCs w:val="28"/>
          <w:lang w:val="ru-RU"/>
        </w:rPr>
      </w:pPr>
      <w:r>
        <w:rPr>
          <w:szCs w:val="28"/>
          <w:lang w:val="ru-RU"/>
        </w:rPr>
        <w:t>- динаміку надходжень плати за землю та фактичних платників станом на 01.1</w:t>
      </w:r>
      <w:r w:rsidR="00F61BD1">
        <w:rPr>
          <w:szCs w:val="28"/>
          <w:lang w:val="ru-RU"/>
        </w:rPr>
        <w:t>1</w:t>
      </w:r>
      <w:r>
        <w:rPr>
          <w:szCs w:val="28"/>
          <w:lang w:val="ru-RU"/>
        </w:rPr>
        <w:t>.202</w:t>
      </w:r>
      <w:r w:rsidR="00A7169C">
        <w:rPr>
          <w:szCs w:val="28"/>
          <w:lang w:val="ru-RU"/>
        </w:rPr>
        <w:t>4</w:t>
      </w:r>
      <w:r>
        <w:rPr>
          <w:szCs w:val="28"/>
          <w:lang w:val="ru-RU"/>
        </w:rPr>
        <w:t xml:space="preserve"> року; </w:t>
      </w:r>
    </w:p>
    <w:p w:rsidR="000B1B98" w:rsidRDefault="000B1B98" w:rsidP="000B1B98">
      <w:pPr>
        <w:ind w:firstLine="708"/>
        <w:jc w:val="both"/>
        <w:rPr>
          <w:szCs w:val="28"/>
          <w:lang w:val="ru-RU"/>
        </w:rPr>
      </w:pPr>
      <w:r>
        <w:rPr>
          <w:szCs w:val="28"/>
          <w:lang w:val="ru-RU"/>
        </w:rPr>
        <w:t xml:space="preserve">- площу земель, яка охоплена договорами оренди; </w:t>
      </w:r>
    </w:p>
    <w:p w:rsidR="000B1B98" w:rsidRDefault="000B1B98" w:rsidP="000B1B98">
      <w:pPr>
        <w:ind w:firstLine="708"/>
        <w:jc w:val="both"/>
        <w:rPr>
          <w:szCs w:val="28"/>
        </w:rPr>
      </w:pPr>
      <w:r>
        <w:rPr>
          <w:color w:val="000000"/>
          <w:shd w:val="clear" w:color="auto" w:fill="FFFFFF"/>
        </w:rPr>
        <w:t xml:space="preserve">- </w:t>
      </w:r>
      <w:r>
        <w:rPr>
          <w:szCs w:val="28"/>
        </w:rPr>
        <w:t>затверджені ставки земельного податку на 202</w:t>
      </w:r>
      <w:r w:rsidR="00A7169C">
        <w:rPr>
          <w:szCs w:val="28"/>
        </w:rPr>
        <w:t>4</w:t>
      </w:r>
      <w:r>
        <w:rPr>
          <w:szCs w:val="28"/>
        </w:rPr>
        <w:t xml:space="preserve"> рік рішенням Тростянецької міської ради від 14.07.2021 № 798 «Про встановлення місцевих податків та зборів на території Тростянецької міської територіальної громади з 01.01.2022 року».</w:t>
      </w:r>
    </w:p>
    <w:p w:rsidR="000B1B98" w:rsidRDefault="000B1B98" w:rsidP="000B1B98">
      <w:pPr>
        <w:ind w:firstLine="708"/>
        <w:jc w:val="both"/>
        <w:rPr>
          <w:szCs w:val="28"/>
        </w:rPr>
      </w:pPr>
      <w:r>
        <w:rPr>
          <w:szCs w:val="28"/>
        </w:rPr>
        <w:t xml:space="preserve">Прогноз надходжень плати за землю розраховано із врахуванням підпункту 69.14 пункту 69 підрозділу 10 розділу ХХ Податкового кодексу України, що діє до 31 грудня року наступного за роком, у якому припинено або скасовано воєнний, надзвичайний стан, яким визначено, що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  </w:t>
      </w:r>
    </w:p>
    <w:p w:rsidR="000B1B98" w:rsidRDefault="000B1B98" w:rsidP="000B1B98">
      <w:pPr>
        <w:ind w:firstLine="708"/>
        <w:jc w:val="both"/>
        <w:rPr>
          <w:szCs w:val="28"/>
        </w:rPr>
      </w:pPr>
    </w:p>
    <w:p w:rsidR="000B1B98" w:rsidRDefault="000B1B98" w:rsidP="000B1B98">
      <w:pPr>
        <w:ind w:firstLine="708"/>
        <w:jc w:val="center"/>
        <w:rPr>
          <w:szCs w:val="28"/>
          <w:lang w:val="ru-RU"/>
        </w:rPr>
      </w:pPr>
      <w:r>
        <w:rPr>
          <w:b/>
          <w:i/>
          <w:szCs w:val="28"/>
          <w:lang w:val="ru-RU"/>
        </w:rPr>
        <w:t>Динаміка надходжень плати за землю</w:t>
      </w:r>
    </w:p>
    <w:p w:rsidR="000B1B98" w:rsidRDefault="000B1B98" w:rsidP="000B1B98">
      <w:pPr>
        <w:tabs>
          <w:tab w:val="left" w:pos="0"/>
        </w:tabs>
        <w:jc w:val="right"/>
        <w:rPr>
          <w:sz w:val="22"/>
          <w:szCs w:val="22"/>
        </w:rPr>
      </w:pPr>
      <w:r>
        <w:rPr>
          <w:sz w:val="22"/>
          <w:szCs w:val="22"/>
        </w:rPr>
        <w:t>тис.гривень</w:t>
      </w:r>
    </w:p>
    <w:tbl>
      <w:tblPr>
        <w:tblStyle w:val="a6"/>
        <w:tblW w:w="0" w:type="auto"/>
        <w:tblInd w:w="0" w:type="dxa"/>
        <w:tblLook w:val="04A0" w:firstRow="1" w:lastRow="0" w:firstColumn="1" w:lastColumn="0" w:noHBand="0" w:noVBand="1"/>
      </w:tblPr>
      <w:tblGrid>
        <w:gridCol w:w="3256"/>
        <w:gridCol w:w="2126"/>
        <w:gridCol w:w="1984"/>
        <w:gridCol w:w="1979"/>
      </w:tblGrid>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Показники</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Факт 202</w:t>
            </w:r>
            <w:r w:rsidR="00A7169C">
              <w:rPr>
                <w:sz w:val="22"/>
                <w:szCs w:val="22"/>
                <w:lang w:eastAsia="uk-UA"/>
              </w:rPr>
              <w:t>3</w:t>
            </w:r>
            <w:r>
              <w:rPr>
                <w:sz w:val="22"/>
                <w:szCs w:val="22"/>
                <w:lang w:eastAsia="uk-UA"/>
              </w:rPr>
              <w:t xml:space="preserve"> року </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Очікуване за 202</w:t>
            </w:r>
            <w:r w:rsidR="00A7169C">
              <w:rPr>
                <w:sz w:val="22"/>
                <w:szCs w:val="22"/>
                <w:lang w:eastAsia="uk-UA"/>
              </w:rPr>
              <w:t>4</w:t>
            </w:r>
            <w:r>
              <w:rPr>
                <w:sz w:val="22"/>
                <w:szCs w:val="22"/>
                <w:lang w:eastAsia="uk-UA"/>
              </w:rPr>
              <w:t xml:space="preserve"> рік</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center"/>
              <w:rPr>
                <w:sz w:val="22"/>
                <w:szCs w:val="22"/>
                <w:lang w:eastAsia="uk-UA"/>
              </w:rPr>
            </w:pPr>
            <w:r>
              <w:rPr>
                <w:sz w:val="22"/>
                <w:szCs w:val="22"/>
                <w:lang w:eastAsia="uk-UA"/>
              </w:rPr>
              <w:t>Прогноз на 202</w:t>
            </w:r>
            <w:r w:rsidR="00A7169C">
              <w:rPr>
                <w:sz w:val="22"/>
                <w:szCs w:val="22"/>
                <w:lang w:eastAsia="uk-UA"/>
              </w:rPr>
              <w:t>5</w:t>
            </w:r>
            <w:r>
              <w:rPr>
                <w:sz w:val="22"/>
                <w:szCs w:val="22"/>
                <w:lang w:eastAsia="uk-UA"/>
              </w:rPr>
              <w:t xml:space="preserve"> рік</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b/>
                <w:sz w:val="22"/>
                <w:szCs w:val="22"/>
                <w:lang w:eastAsia="uk-UA"/>
              </w:rPr>
            </w:pPr>
            <w:r>
              <w:rPr>
                <w:b/>
                <w:sz w:val="22"/>
                <w:szCs w:val="22"/>
                <w:lang w:eastAsia="uk-UA"/>
              </w:rPr>
              <w:t>Обсяг надходжень до бюджету Тростянецької МТГ всього,</w:t>
            </w:r>
          </w:p>
          <w:p w:rsidR="000B1B98" w:rsidRDefault="000B1B98">
            <w:pPr>
              <w:tabs>
                <w:tab w:val="left" w:pos="0"/>
              </w:tabs>
              <w:jc w:val="both"/>
              <w:rPr>
                <w:b/>
                <w:sz w:val="22"/>
                <w:szCs w:val="22"/>
                <w:lang w:eastAsia="uk-UA"/>
              </w:rPr>
            </w:pPr>
            <w:r>
              <w:rPr>
                <w:b/>
                <w:sz w:val="22"/>
                <w:szCs w:val="22"/>
                <w:lang w:eastAsia="uk-UA"/>
              </w:rPr>
              <w:t>у тому числі:</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b/>
                <w:sz w:val="22"/>
                <w:szCs w:val="22"/>
                <w:lang w:eastAsia="uk-UA"/>
              </w:rPr>
            </w:pPr>
            <w:r>
              <w:rPr>
                <w:b/>
                <w:sz w:val="22"/>
                <w:szCs w:val="22"/>
                <w:lang w:eastAsia="uk-UA"/>
              </w:rPr>
              <w:t>32 900,4</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b/>
                <w:sz w:val="22"/>
                <w:szCs w:val="22"/>
                <w:lang w:eastAsia="uk-UA"/>
              </w:rPr>
            </w:pPr>
            <w:r>
              <w:rPr>
                <w:b/>
                <w:sz w:val="22"/>
                <w:szCs w:val="22"/>
                <w:lang w:eastAsia="uk-UA"/>
              </w:rPr>
              <w:t>35 724,1</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b/>
                <w:sz w:val="22"/>
                <w:szCs w:val="22"/>
                <w:lang w:eastAsia="uk-UA"/>
              </w:rPr>
            </w:pPr>
            <w:r>
              <w:rPr>
                <w:b/>
                <w:sz w:val="22"/>
                <w:szCs w:val="22"/>
                <w:lang w:eastAsia="uk-UA"/>
              </w:rPr>
              <w:t>37 446,3</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i/>
                <w:sz w:val="22"/>
                <w:szCs w:val="22"/>
                <w:lang w:eastAsia="uk-UA"/>
              </w:rPr>
            </w:pPr>
            <w:r>
              <w:rPr>
                <w:i/>
                <w:sz w:val="22"/>
                <w:szCs w:val="22"/>
                <w:lang w:eastAsia="uk-UA"/>
              </w:rPr>
              <w:t>Земельний податок з юридичних осіб</w:t>
            </w:r>
          </w:p>
        </w:tc>
        <w:tc>
          <w:tcPr>
            <w:tcW w:w="2126" w:type="dxa"/>
            <w:tcBorders>
              <w:top w:val="single" w:sz="4" w:space="0" w:color="auto"/>
              <w:left w:val="single" w:sz="4" w:space="0" w:color="auto"/>
              <w:bottom w:val="single" w:sz="4" w:space="0" w:color="auto"/>
              <w:right w:val="single" w:sz="4" w:space="0" w:color="auto"/>
            </w:tcBorders>
          </w:tcPr>
          <w:p w:rsidR="000B1B98" w:rsidRDefault="00A7169C">
            <w:pPr>
              <w:tabs>
                <w:tab w:val="left" w:pos="0"/>
              </w:tabs>
              <w:jc w:val="center"/>
              <w:rPr>
                <w:i/>
                <w:sz w:val="22"/>
                <w:szCs w:val="22"/>
                <w:lang w:eastAsia="uk-UA"/>
              </w:rPr>
            </w:pPr>
            <w:r>
              <w:rPr>
                <w:i/>
                <w:sz w:val="22"/>
                <w:szCs w:val="22"/>
                <w:lang w:eastAsia="uk-UA"/>
              </w:rPr>
              <w:t>4 382,2</w:t>
            </w:r>
          </w:p>
          <w:p w:rsidR="000B1B98" w:rsidRDefault="000B1B98">
            <w:pPr>
              <w:tabs>
                <w:tab w:val="left" w:pos="0"/>
              </w:tabs>
              <w:rPr>
                <w:i/>
                <w:sz w:val="22"/>
                <w:szCs w:val="22"/>
                <w:lang w:eastAsia="uk-UA"/>
              </w:rPr>
            </w:pPr>
          </w:p>
        </w:tc>
        <w:tc>
          <w:tcPr>
            <w:tcW w:w="1984"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9 437,2</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9 500,0</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i/>
                <w:sz w:val="22"/>
                <w:szCs w:val="22"/>
                <w:lang w:eastAsia="uk-UA"/>
              </w:rPr>
            </w:pPr>
            <w:r>
              <w:rPr>
                <w:i/>
                <w:sz w:val="22"/>
                <w:szCs w:val="22"/>
                <w:lang w:eastAsia="uk-UA"/>
              </w:rPr>
              <w:t>Орендна плата з юридичних осіб</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23 916,6</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21 440,4</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22 846,3</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i/>
                <w:sz w:val="22"/>
                <w:szCs w:val="22"/>
                <w:lang w:eastAsia="uk-UA"/>
              </w:rPr>
            </w:pPr>
            <w:r>
              <w:rPr>
                <w:i/>
                <w:sz w:val="22"/>
                <w:szCs w:val="22"/>
                <w:lang w:eastAsia="uk-UA"/>
              </w:rPr>
              <w:t>Земельний податок з фізичних осіб</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398,5</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580,0</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6</w:t>
            </w:r>
            <w:r w:rsidR="00B32D7B">
              <w:rPr>
                <w:i/>
                <w:sz w:val="22"/>
                <w:szCs w:val="22"/>
                <w:lang w:eastAsia="uk-UA"/>
              </w:rPr>
              <w:t>00,0</w:t>
            </w:r>
          </w:p>
        </w:tc>
      </w:tr>
      <w:tr w:rsidR="000B1B98" w:rsidTr="000B1B98">
        <w:tc>
          <w:tcPr>
            <w:tcW w:w="3256" w:type="dxa"/>
            <w:tcBorders>
              <w:top w:val="single" w:sz="4" w:space="0" w:color="auto"/>
              <w:left w:val="single" w:sz="4" w:space="0" w:color="auto"/>
              <w:bottom w:val="single" w:sz="4" w:space="0" w:color="auto"/>
              <w:right w:val="single" w:sz="4" w:space="0" w:color="auto"/>
            </w:tcBorders>
            <w:hideMark/>
          </w:tcPr>
          <w:p w:rsidR="000B1B98" w:rsidRDefault="000B1B98">
            <w:pPr>
              <w:tabs>
                <w:tab w:val="left" w:pos="0"/>
              </w:tabs>
              <w:jc w:val="both"/>
              <w:rPr>
                <w:i/>
                <w:sz w:val="22"/>
                <w:szCs w:val="22"/>
                <w:lang w:eastAsia="uk-UA"/>
              </w:rPr>
            </w:pPr>
            <w:r>
              <w:rPr>
                <w:i/>
                <w:sz w:val="22"/>
                <w:szCs w:val="22"/>
                <w:lang w:eastAsia="uk-UA"/>
              </w:rPr>
              <w:t>Орендна плата з фізичних осіб</w:t>
            </w:r>
          </w:p>
        </w:tc>
        <w:tc>
          <w:tcPr>
            <w:tcW w:w="2126"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4 203,0</w:t>
            </w:r>
          </w:p>
        </w:tc>
        <w:tc>
          <w:tcPr>
            <w:tcW w:w="1984" w:type="dxa"/>
            <w:tcBorders>
              <w:top w:val="single" w:sz="4" w:space="0" w:color="auto"/>
              <w:left w:val="single" w:sz="4" w:space="0" w:color="auto"/>
              <w:bottom w:val="single" w:sz="4" w:space="0" w:color="auto"/>
              <w:right w:val="single" w:sz="4" w:space="0" w:color="auto"/>
            </w:tcBorders>
            <w:hideMark/>
          </w:tcPr>
          <w:p w:rsidR="000B1B98" w:rsidRDefault="00A7169C">
            <w:pPr>
              <w:tabs>
                <w:tab w:val="left" w:pos="0"/>
              </w:tabs>
              <w:jc w:val="center"/>
              <w:rPr>
                <w:i/>
                <w:sz w:val="22"/>
                <w:szCs w:val="22"/>
                <w:lang w:eastAsia="uk-UA"/>
              </w:rPr>
            </w:pPr>
            <w:r>
              <w:rPr>
                <w:i/>
                <w:sz w:val="22"/>
                <w:szCs w:val="22"/>
                <w:lang w:eastAsia="uk-UA"/>
              </w:rPr>
              <w:t>4 266,5</w:t>
            </w:r>
          </w:p>
        </w:tc>
        <w:tc>
          <w:tcPr>
            <w:tcW w:w="1979" w:type="dxa"/>
            <w:tcBorders>
              <w:top w:val="single" w:sz="4" w:space="0" w:color="auto"/>
              <w:left w:val="single" w:sz="4" w:space="0" w:color="auto"/>
              <w:bottom w:val="single" w:sz="4" w:space="0" w:color="auto"/>
              <w:right w:val="single" w:sz="4" w:space="0" w:color="auto"/>
            </w:tcBorders>
            <w:hideMark/>
          </w:tcPr>
          <w:p w:rsidR="000B1B98" w:rsidRDefault="003B5442">
            <w:pPr>
              <w:tabs>
                <w:tab w:val="left" w:pos="0"/>
              </w:tabs>
              <w:jc w:val="center"/>
              <w:rPr>
                <w:i/>
                <w:sz w:val="22"/>
                <w:szCs w:val="22"/>
                <w:lang w:eastAsia="uk-UA"/>
              </w:rPr>
            </w:pPr>
            <w:r>
              <w:rPr>
                <w:i/>
                <w:sz w:val="22"/>
                <w:szCs w:val="22"/>
                <w:lang w:eastAsia="uk-UA"/>
              </w:rPr>
              <w:t>4</w:t>
            </w:r>
            <w:r w:rsidR="000B1B98">
              <w:rPr>
                <w:i/>
                <w:sz w:val="22"/>
                <w:szCs w:val="22"/>
                <w:lang w:eastAsia="uk-UA"/>
              </w:rPr>
              <w:t> </w:t>
            </w:r>
            <w:r w:rsidR="00A7169C">
              <w:rPr>
                <w:i/>
                <w:sz w:val="22"/>
                <w:szCs w:val="22"/>
                <w:lang w:eastAsia="uk-UA"/>
              </w:rPr>
              <w:t>5</w:t>
            </w:r>
            <w:r w:rsidR="000B1B98">
              <w:rPr>
                <w:i/>
                <w:sz w:val="22"/>
                <w:szCs w:val="22"/>
                <w:lang w:eastAsia="uk-UA"/>
              </w:rPr>
              <w:t>00,0</w:t>
            </w:r>
          </w:p>
        </w:tc>
      </w:tr>
    </w:tbl>
    <w:p w:rsidR="000B1B98" w:rsidRDefault="000B1B98" w:rsidP="000B1B98">
      <w:pPr>
        <w:ind w:firstLine="708"/>
        <w:jc w:val="center"/>
        <w:rPr>
          <w:b/>
          <w:i/>
          <w:szCs w:val="28"/>
          <w:lang w:val="ru-RU"/>
        </w:rPr>
      </w:pPr>
    </w:p>
    <w:p w:rsidR="00627FEA" w:rsidRDefault="00627FEA" w:rsidP="000B1B98">
      <w:pPr>
        <w:ind w:firstLine="708"/>
        <w:jc w:val="center"/>
        <w:rPr>
          <w:b/>
          <w:i/>
          <w:szCs w:val="28"/>
          <w:lang w:val="ru-RU"/>
        </w:rPr>
      </w:pPr>
      <w:r>
        <w:rPr>
          <w:b/>
          <w:i/>
          <w:szCs w:val="28"/>
          <w:lang w:val="ru-RU"/>
        </w:rPr>
        <w:t>Транспортний податок</w:t>
      </w:r>
    </w:p>
    <w:p w:rsidR="00A1318D" w:rsidRDefault="00A1318D" w:rsidP="00627FEA">
      <w:pPr>
        <w:ind w:firstLine="708"/>
        <w:jc w:val="both"/>
        <w:rPr>
          <w:bCs/>
          <w:iCs/>
          <w:szCs w:val="28"/>
          <w:lang w:val="ru-RU"/>
        </w:rPr>
      </w:pPr>
      <w:r>
        <w:rPr>
          <w:bCs/>
          <w:iCs/>
          <w:szCs w:val="28"/>
          <w:lang w:val="ru-RU"/>
        </w:rPr>
        <w:t>За даними податкової служби на території Тростянецької міської територіальної громади обліковується три суб'єкта господарювання юридичні особи: ПП «Зарічанське»</w:t>
      </w:r>
      <w:r w:rsidR="00EE2A57">
        <w:rPr>
          <w:bCs/>
          <w:iCs/>
          <w:szCs w:val="28"/>
          <w:lang w:val="ru-RU"/>
        </w:rPr>
        <w:t xml:space="preserve"> та</w:t>
      </w:r>
      <w:r>
        <w:rPr>
          <w:bCs/>
          <w:iCs/>
          <w:szCs w:val="28"/>
          <w:lang w:val="ru-RU"/>
        </w:rPr>
        <w:t xml:space="preserve"> ПП «Мащанське».  Прогнозні надходження на 202</w:t>
      </w:r>
      <w:r w:rsidR="00EE2A57">
        <w:rPr>
          <w:bCs/>
          <w:iCs/>
          <w:szCs w:val="28"/>
          <w:lang w:val="ru-RU"/>
        </w:rPr>
        <w:t>5</w:t>
      </w:r>
      <w:r>
        <w:rPr>
          <w:bCs/>
          <w:iCs/>
          <w:szCs w:val="28"/>
          <w:lang w:val="ru-RU"/>
        </w:rPr>
        <w:t xml:space="preserve"> рік транспортного податку обраховані в сумі </w:t>
      </w:r>
      <w:r w:rsidR="00EE2A57">
        <w:rPr>
          <w:bCs/>
          <w:iCs/>
          <w:szCs w:val="28"/>
          <w:lang w:val="ru-RU"/>
        </w:rPr>
        <w:t>19,7</w:t>
      </w:r>
      <w:r>
        <w:rPr>
          <w:bCs/>
          <w:iCs/>
          <w:szCs w:val="28"/>
          <w:lang w:val="ru-RU"/>
        </w:rPr>
        <w:t xml:space="preserve"> тис. гривень.</w:t>
      </w:r>
    </w:p>
    <w:p w:rsidR="00627FEA" w:rsidRPr="00627FEA" w:rsidRDefault="00A1318D" w:rsidP="00627FEA">
      <w:pPr>
        <w:ind w:firstLine="708"/>
        <w:jc w:val="both"/>
        <w:rPr>
          <w:bCs/>
          <w:iCs/>
          <w:szCs w:val="28"/>
          <w:lang w:val="ru-RU"/>
        </w:rPr>
      </w:pPr>
      <w:r>
        <w:rPr>
          <w:bCs/>
          <w:iCs/>
          <w:szCs w:val="28"/>
          <w:lang w:val="ru-RU"/>
        </w:rPr>
        <w:t xml:space="preserve"> </w:t>
      </w:r>
    </w:p>
    <w:p w:rsidR="00A1318D" w:rsidRDefault="00A1318D" w:rsidP="000B1B98">
      <w:pPr>
        <w:ind w:firstLine="708"/>
        <w:jc w:val="center"/>
        <w:rPr>
          <w:b/>
          <w:i/>
          <w:szCs w:val="28"/>
          <w:lang w:val="ru-RU"/>
        </w:rPr>
      </w:pPr>
      <w:r>
        <w:rPr>
          <w:b/>
          <w:i/>
          <w:szCs w:val="28"/>
          <w:lang w:val="ru-RU"/>
        </w:rPr>
        <w:t>Туристичний збір</w:t>
      </w:r>
    </w:p>
    <w:p w:rsidR="00A1318D" w:rsidRDefault="00A1318D" w:rsidP="00A1318D">
      <w:pPr>
        <w:ind w:firstLine="708"/>
        <w:jc w:val="both"/>
        <w:rPr>
          <w:bCs/>
          <w:iCs/>
          <w:szCs w:val="28"/>
          <w:lang w:val="ru-RU"/>
        </w:rPr>
      </w:pPr>
      <w:r>
        <w:rPr>
          <w:bCs/>
          <w:iCs/>
          <w:szCs w:val="28"/>
          <w:lang w:val="ru-RU"/>
        </w:rPr>
        <w:t>За даними податкової служби платниками туристичного збору станом на 01 жовтня 202</w:t>
      </w:r>
      <w:r w:rsidR="0082560F">
        <w:rPr>
          <w:bCs/>
          <w:iCs/>
          <w:szCs w:val="28"/>
          <w:lang w:val="ru-RU"/>
        </w:rPr>
        <w:t>4</w:t>
      </w:r>
      <w:r>
        <w:rPr>
          <w:bCs/>
          <w:iCs/>
          <w:szCs w:val="28"/>
          <w:lang w:val="ru-RU"/>
        </w:rPr>
        <w:t xml:space="preserve"> року є ДП «Елегія» КП ТМР «Тростянецьке ЖЕУ» та КП «Готель «Тростянець». На 202</w:t>
      </w:r>
      <w:r w:rsidR="0082560F">
        <w:rPr>
          <w:bCs/>
          <w:iCs/>
          <w:szCs w:val="28"/>
          <w:lang w:val="ru-RU"/>
        </w:rPr>
        <w:t>5</w:t>
      </w:r>
      <w:r>
        <w:rPr>
          <w:bCs/>
          <w:iCs/>
          <w:szCs w:val="28"/>
          <w:lang w:val="ru-RU"/>
        </w:rPr>
        <w:t xml:space="preserve"> рік туристичного збору обраховано в сумі </w:t>
      </w:r>
      <w:r w:rsidR="0082560F">
        <w:rPr>
          <w:bCs/>
          <w:iCs/>
          <w:szCs w:val="28"/>
          <w:lang w:val="ru-RU"/>
        </w:rPr>
        <w:t>55,0</w:t>
      </w:r>
      <w:r>
        <w:rPr>
          <w:bCs/>
          <w:iCs/>
          <w:szCs w:val="28"/>
          <w:lang w:val="ru-RU"/>
        </w:rPr>
        <w:t xml:space="preserve"> тис. гривень, що на </w:t>
      </w:r>
      <w:r w:rsidR="0082560F">
        <w:rPr>
          <w:bCs/>
          <w:iCs/>
          <w:szCs w:val="28"/>
          <w:lang w:val="ru-RU"/>
        </w:rPr>
        <w:t>5,0</w:t>
      </w:r>
      <w:r>
        <w:rPr>
          <w:bCs/>
          <w:iCs/>
          <w:szCs w:val="28"/>
          <w:lang w:val="ru-RU"/>
        </w:rPr>
        <w:t xml:space="preserve"> тис. гривень більше очікуваних надходжень 202</w:t>
      </w:r>
      <w:r w:rsidR="0082560F">
        <w:rPr>
          <w:bCs/>
          <w:iCs/>
          <w:szCs w:val="28"/>
          <w:lang w:val="ru-RU"/>
        </w:rPr>
        <w:t>4</w:t>
      </w:r>
      <w:r>
        <w:rPr>
          <w:bCs/>
          <w:iCs/>
          <w:szCs w:val="28"/>
          <w:lang w:val="ru-RU"/>
        </w:rPr>
        <w:t xml:space="preserve"> року.</w:t>
      </w:r>
    </w:p>
    <w:p w:rsidR="00A1318D" w:rsidRPr="00A1318D" w:rsidRDefault="00A1318D" w:rsidP="00A1318D">
      <w:pPr>
        <w:ind w:firstLine="708"/>
        <w:jc w:val="both"/>
        <w:rPr>
          <w:bCs/>
          <w:iCs/>
          <w:szCs w:val="28"/>
          <w:lang w:val="ru-RU"/>
        </w:rPr>
      </w:pPr>
    </w:p>
    <w:p w:rsidR="000B1B98" w:rsidRDefault="000B1B98" w:rsidP="000B1B98">
      <w:pPr>
        <w:ind w:firstLine="708"/>
        <w:jc w:val="center"/>
        <w:rPr>
          <w:b/>
          <w:i/>
          <w:szCs w:val="28"/>
          <w:lang w:val="ru-RU"/>
        </w:rPr>
      </w:pPr>
      <w:r>
        <w:rPr>
          <w:b/>
          <w:i/>
          <w:szCs w:val="28"/>
          <w:lang w:val="ru-RU"/>
        </w:rPr>
        <w:lastRenderedPageBreak/>
        <w:t>Єдиний податок</w:t>
      </w:r>
    </w:p>
    <w:p w:rsidR="000B1B98" w:rsidRDefault="000B1B98" w:rsidP="000B1B98">
      <w:pPr>
        <w:ind w:firstLine="708"/>
        <w:jc w:val="both"/>
        <w:rPr>
          <w:szCs w:val="28"/>
          <w:lang w:val="ru-RU"/>
        </w:rPr>
      </w:pPr>
      <w:r>
        <w:rPr>
          <w:szCs w:val="28"/>
          <w:lang w:val="ru-RU"/>
        </w:rPr>
        <w:t>Прогнозна сума єдиного податку на 202</w:t>
      </w:r>
      <w:r w:rsidR="004C2869">
        <w:rPr>
          <w:szCs w:val="28"/>
          <w:lang w:val="ru-RU"/>
        </w:rPr>
        <w:t>5</w:t>
      </w:r>
      <w:r>
        <w:rPr>
          <w:szCs w:val="28"/>
          <w:lang w:val="ru-RU"/>
        </w:rPr>
        <w:t xml:space="preserve"> рік складає </w:t>
      </w:r>
      <w:r w:rsidR="00B877E7">
        <w:rPr>
          <w:szCs w:val="28"/>
          <w:lang w:val="ru-RU"/>
        </w:rPr>
        <w:t>2</w:t>
      </w:r>
      <w:r w:rsidR="004C2869">
        <w:rPr>
          <w:szCs w:val="28"/>
          <w:lang w:val="ru-RU"/>
        </w:rPr>
        <w:t>2</w:t>
      </w:r>
      <w:r w:rsidR="00B877E7">
        <w:rPr>
          <w:szCs w:val="28"/>
          <w:lang w:val="ru-RU"/>
        </w:rPr>
        <w:t xml:space="preserve"> </w:t>
      </w:r>
      <w:r w:rsidR="004C2869">
        <w:rPr>
          <w:szCs w:val="28"/>
          <w:lang w:val="ru-RU"/>
        </w:rPr>
        <w:t>5</w:t>
      </w:r>
      <w:r>
        <w:rPr>
          <w:szCs w:val="28"/>
          <w:lang w:val="ru-RU"/>
        </w:rPr>
        <w:t xml:space="preserve">00,0 тис. гривень, що на </w:t>
      </w:r>
      <w:r w:rsidR="004C2869">
        <w:rPr>
          <w:szCs w:val="28"/>
          <w:lang w:val="ru-RU"/>
        </w:rPr>
        <w:t>952,9</w:t>
      </w:r>
      <w:r>
        <w:rPr>
          <w:szCs w:val="28"/>
          <w:lang w:val="ru-RU"/>
        </w:rPr>
        <w:t xml:space="preserve"> тис. гривень більше, приріст </w:t>
      </w:r>
      <w:r w:rsidR="004C2869">
        <w:rPr>
          <w:szCs w:val="28"/>
          <w:lang w:val="ru-RU"/>
        </w:rPr>
        <w:t>4,4</w:t>
      </w:r>
      <w:r>
        <w:rPr>
          <w:szCs w:val="28"/>
          <w:lang w:val="ru-RU"/>
        </w:rPr>
        <w:t>% та враховує:</w:t>
      </w:r>
    </w:p>
    <w:p w:rsidR="000B1B98" w:rsidRDefault="000B1B98" w:rsidP="000B1B98">
      <w:pPr>
        <w:ind w:firstLine="708"/>
        <w:jc w:val="both"/>
        <w:rPr>
          <w:szCs w:val="28"/>
          <w:lang w:val="ru-RU"/>
        </w:rPr>
      </w:pPr>
      <w:r>
        <w:rPr>
          <w:szCs w:val="28"/>
          <w:lang w:val="ru-RU"/>
        </w:rPr>
        <w:t>- динаміку надходжень за останні роки;</w:t>
      </w:r>
    </w:p>
    <w:p w:rsidR="000B1B98" w:rsidRDefault="000B1B98" w:rsidP="000B1B98">
      <w:pPr>
        <w:ind w:firstLine="708"/>
        <w:jc w:val="both"/>
        <w:rPr>
          <w:szCs w:val="28"/>
          <w:lang w:val="ru-RU"/>
        </w:rPr>
      </w:pPr>
      <w:r>
        <w:rPr>
          <w:szCs w:val="28"/>
          <w:lang w:val="ru-RU"/>
        </w:rPr>
        <w:t>- збереження кількості платників єдиного податку;</w:t>
      </w:r>
    </w:p>
    <w:p w:rsidR="00A03AD5" w:rsidRPr="00A03AD5" w:rsidRDefault="000B1B98" w:rsidP="00A03AD5">
      <w:pPr>
        <w:pStyle w:val="a5"/>
        <w:shd w:val="clear" w:color="auto" w:fill="FFFFFF"/>
        <w:rPr>
          <w:rFonts w:ascii="Times New Roman" w:eastAsia="Times New Roman" w:hAnsi="Times New Roman" w:cs="Times New Roman"/>
          <w:spacing w:val="0"/>
          <w:szCs w:val="28"/>
          <w:lang w:val="ru-RU"/>
        </w:rPr>
      </w:pPr>
      <w:r w:rsidRPr="00A03AD5">
        <w:rPr>
          <w:rFonts w:ascii="Times New Roman" w:hAnsi="Times New Roman" w:cs="Times New Roman"/>
          <w:szCs w:val="28"/>
          <w:lang w:val="ru-RU"/>
        </w:rPr>
        <w:t xml:space="preserve">- </w:t>
      </w:r>
      <w:r w:rsidR="00A03AD5" w:rsidRPr="00A03AD5">
        <w:rPr>
          <w:rFonts w:ascii="Times New Roman" w:eastAsia="Times New Roman" w:hAnsi="Times New Roman" w:cs="Times New Roman"/>
          <w:spacing w:val="0"/>
          <w:szCs w:val="28"/>
          <w:lang w:val="ru-RU"/>
        </w:rPr>
        <w:t>розмір мінімальної заробітної плати</w:t>
      </w:r>
      <w:r w:rsidR="00A03AD5">
        <w:rPr>
          <w:rFonts w:ascii="Times New Roman" w:eastAsia="Times New Roman" w:hAnsi="Times New Roman" w:cs="Times New Roman"/>
          <w:spacing w:val="0"/>
          <w:szCs w:val="28"/>
          <w:lang w:val="ru-RU"/>
        </w:rPr>
        <w:t>, що становитиме</w:t>
      </w:r>
      <w:r w:rsidR="004C2869">
        <w:rPr>
          <w:rFonts w:ascii="Times New Roman" w:eastAsia="Times New Roman" w:hAnsi="Times New Roman" w:cs="Times New Roman"/>
          <w:spacing w:val="0"/>
          <w:szCs w:val="28"/>
          <w:lang w:val="ru-RU"/>
        </w:rPr>
        <w:t xml:space="preserve"> 8 000 гривень</w:t>
      </w:r>
      <w:r w:rsidR="00A03AD5">
        <w:rPr>
          <w:rFonts w:ascii="Times New Roman" w:eastAsia="Times New Roman" w:hAnsi="Times New Roman" w:cs="Times New Roman"/>
          <w:spacing w:val="0"/>
          <w:szCs w:val="28"/>
          <w:lang w:val="ru-RU"/>
        </w:rPr>
        <w:t>:</w:t>
      </w:r>
    </w:p>
    <w:p w:rsidR="00A03AD5" w:rsidRPr="00A03AD5" w:rsidRDefault="00A03AD5" w:rsidP="00A03AD5">
      <w:pPr>
        <w:shd w:val="clear" w:color="auto" w:fill="FFFFFF"/>
        <w:ind w:left="567"/>
        <w:rPr>
          <w:szCs w:val="28"/>
          <w:lang w:val="ru-RU"/>
        </w:rPr>
      </w:pPr>
      <w:r>
        <w:rPr>
          <w:szCs w:val="28"/>
          <w:lang w:val="ru-RU"/>
        </w:rPr>
        <w:t xml:space="preserve">- </w:t>
      </w:r>
      <w:r w:rsidRPr="00A03AD5">
        <w:rPr>
          <w:szCs w:val="28"/>
          <w:lang w:val="ru-RU"/>
        </w:rPr>
        <w:t xml:space="preserve">розмір прожиткового мінімуму для працездатних осіб </w:t>
      </w:r>
      <w:r w:rsidR="00CE1571">
        <w:rPr>
          <w:szCs w:val="28"/>
          <w:lang w:val="ru-RU"/>
        </w:rPr>
        <w:t>–</w:t>
      </w:r>
      <w:r w:rsidRPr="00A03AD5">
        <w:rPr>
          <w:szCs w:val="28"/>
          <w:lang w:val="ru-RU"/>
        </w:rPr>
        <w:t xml:space="preserve"> 3</w:t>
      </w:r>
      <w:r w:rsidR="00CE1571">
        <w:rPr>
          <w:szCs w:val="28"/>
          <w:lang w:val="ru-RU"/>
        </w:rPr>
        <w:t xml:space="preserve"> </w:t>
      </w:r>
      <w:r w:rsidR="004C2869">
        <w:rPr>
          <w:szCs w:val="28"/>
          <w:lang w:val="ru-RU"/>
        </w:rPr>
        <w:t>028</w:t>
      </w:r>
      <w:r w:rsidRPr="00A03AD5">
        <w:rPr>
          <w:szCs w:val="28"/>
          <w:lang w:val="ru-RU"/>
        </w:rPr>
        <w:t xml:space="preserve"> грн.</w:t>
      </w:r>
    </w:p>
    <w:p w:rsidR="00AC4E75" w:rsidRPr="00A03AD5" w:rsidRDefault="000B1B98" w:rsidP="00AC4E75">
      <w:pPr>
        <w:shd w:val="clear" w:color="auto" w:fill="FFFFFF"/>
        <w:ind w:firstLine="709"/>
        <w:jc w:val="both"/>
        <w:rPr>
          <w:szCs w:val="28"/>
          <w:lang w:val="ru-RU"/>
        </w:rPr>
      </w:pPr>
      <w:r>
        <w:rPr>
          <w:b/>
          <w:bCs/>
          <w:i/>
          <w:iCs/>
          <w:szCs w:val="28"/>
          <w:lang w:val="ru-RU"/>
        </w:rPr>
        <w:t>Єдиного податку з юридичних та фізичних осіб</w:t>
      </w:r>
      <w:r>
        <w:rPr>
          <w:szCs w:val="28"/>
          <w:lang w:val="ru-RU"/>
        </w:rPr>
        <w:t xml:space="preserve">  заплановано отримати в сумі </w:t>
      </w:r>
      <w:r w:rsidR="00000856">
        <w:rPr>
          <w:szCs w:val="28"/>
          <w:lang w:val="ru-RU"/>
        </w:rPr>
        <w:t>22 5</w:t>
      </w:r>
      <w:r w:rsidR="00B32454">
        <w:rPr>
          <w:szCs w:val="28"/>
          <w:lang w:val="ru-RU"/>
        </w:rPr>
        <w:t>00,0</w:t>
      </w:r>
      <w:r>
        <w:rPr>
          <w:szCs w:val="28"/>
          <w:lang w:val="ru-RU"/>
        </w:rPr>
        <w:t xml:space="preserve"> тис. гривень, що на </w:t>
      </w:r>
      <w:r w:rsidR="00000856">
        <w:rPr>
          <w:szCs w:val="28"/>
          <w:lang w:val="ru-RU"/>
        </w:rPr>
        <w:t>952,9</w:t>
      </w:r>
      <w:r>
        <w:rPr>
          <w:szCs w:val="28"/>
          <w:lang w:val="ru-RU"/>
        </w:rPr>
        <w:t xml:space="preserve"> тис. гривень більше (приріст </w:t>
      </w:r>
      <w:r w:rsidR="00000856">
        <w:rPr>
          <w:szCs w:val="28"/>
          <w:lang w:val="ru-RU"/>
        </w:rPr>
        <w:t>4,4</w:t>
      </w:r>
      <w:r>
        <w:rPr>
          <w:szCs w:val="28"/>
          <w:lang w:val="ru-RU"/>
        </w:rPr>
        <w:t>%). При розрахунку прогнозу суми єдиного податку бул</w:t>
      </w:r>
      <w:r w:rsidR="00AC4E75">
        <w:rPr>
          <w:szCs w:val="28"/>
          <w:lang w:val="ru-RU"/>
        </w:rPr>
        <w:t>и</w:t>
      </w:r>
      <w:r>
        <w:rPr>
          <w:szCs w:val="28"/>
          <w:lang w:val="ru-RU"/>
        </w:rPr>
        <w:t xml:space="preserve"> врахован</w:t>
      </w:r>
      <w:r w:rsidR="00AC4E75">
        <w:rPr>
          <w:szCs w:val="28"/>
          <w:lang w:val="ru-RU"/>
        </w:rPr>
        <w:t>і</w:t>
      </w:r>
      <w:r w:rsidR="00AC4E75" w:rsidRPr="00AC4E75">
        <w:rPr>
          <w:szCs w:val="28"/>
          <w:lang w:val="ru-RU"/>
        </w:rPr>
        <w:t xml:space="preserve"> </w:t>
      </w:r>
      <w:r w:rsidR="00AC4E75" w:rsidRPr="00A03AD5">
        <w:rPr>
          <w:szCs w:val="28"/>
          <w:lang w:val="ru-RU"/>
        </w:rPr>
        <w:t>ставки єдиного податку, які сплачуватимуть ФОП з 1 січня 202</w:t>
      </w:r>
      <w:r w:rsidR="00F474AF">
        <w:rPr>
          <w:szCs w:val="28"/>
          <w:lang w:val="ru-RU"/>
        </w:rPr>
        <w:t>5</w:t>
      </w:r>
      <w:r w:rsidR="00AC4E75" w:rsidRPr="00A03AD5">
        <w:rPr>
          <w:szCs w:val="28"/>
          <w:lang w:val="ru-RU"/>
        </w:rPr>
        <w:t xml:space="preserve"> року:</w:t>
      </w:r>
    </w:p>
    <w:p w:rsidR="00AC4E75" w:rsidRPr="001C4369" w:rsidRDefault="00AC4E75" w:rsidP="00AC4E75">
      <w:pPr>
        <w:shd w:val="clear" w:color="auto" w:fill="FFFFFF"/>
        <w:ind w:firstLine="709"/>
        <w:jc w:val="both"/>
        <w:rPr>
          <w:szCs w:val="28"/>
          <w:lang w:val="ru-RU"/>
        </w:rPr>
      </w:pPr>
      <w:r w:rsidRPr="001C4369">
        <w:rPr>
          <w:szCs w:val="28"/>
          <w:lang w:val="ru-RU"/>
        </w:rPr>
        <w:t>ФОП І групи - 302,80 грн. на місяць;</w:t>
      </w:r>
    </w:p>
    <w:p w:rsidR="00AC4E75" w:rsidRPr="001C4369" w:rsidRDefault="00AC4E75" w:rsidP="00AC4E75">
      <w:pPr>
        <w:shd w:val="clear" w:color="auto" w:fill="FFFFFF"/>
        <w:ind w:firstLine="709"/>
        <w:jc w:val="both"/>
        <w:rPr>
          <w:szCs w:val="28"/>
          <w:lang w:val="ru-RU"/>
        </w:rPr>
      </w:pPr>
      <w:r w:rsidRPr="001C4369">
        <w:rPr>
          <w:szCs w:val="28"/>
          <w:lang w:val="ru-RU"/>
        </w:rPr>
        <w:t>ФОП  ІІ групи -  1</w:t>
      </w:r>
      <w:r w:rsidR="001C4369" w:rsidRPr="001C4369">
        <w:rPr>
          <w:szCs w:val="28"/>
          <w:lang w:val="ru-RU"/>
        </w:rPr>
        <w:t>60</w:t>
      </w:r>
      <w:r w:rsidRPr="001C4369">
        <w:rPr>
          <w:szCs w:val="28"/>
          <w:lang w:val="ru-RU"/>
        </w:rPr>
        <w:t>0 грн. на місяць;</w:t>
      </w:r>
    </w:p>
    <w:p w:rsidR="00AC4E75" w:rsidRPr="00A03AD5" w:rsidRDefault="00AC4E75" w:rsidP="00CE1571">
      <w:pPr>
        <w:ind w:firstLine="709"/>
        <w:jc w:val="both"/>
        <w:rPr>
          <w:szCs w:val="28"/>
          <w:lang w:val="ru-RU"/>
        </w:rPr>
      </w:pPr>
      <w:r w:rsidRPr="001C4369">
        <w:rPr>
          <w:szCs w:val="28"/>
          <w:lang w:val="ru-RU"/>
        </w:rPr>
        <w:t>ФОП  ІІІ групи - відсоткова ставка 5% доходу, або 3% доходу у разі сплати ПДВ.</w:t>
      </w:r>
    </w:p>
    <w:p w:rsidR="000B1B98" w:rsidRDefault="000B1B98" w:rsidP="00CE1571">
      <w:pPr>
        <w:ind w:firstLine="708"/>
        <w:jc w:val="both"/>
        <w:rPr>
          <w:szCs w:val="28"/>
          <w:lang w:val="ru-RU"/>
        </w:rPr>
      </w:pPr>
      <w:r w:rsidRPr="00CE1571">
        <w:rPr>
          <w:b/>
          <w:bCs/>
          <w:i/>
          <w:iCs/>
          <w:szCs w:val="28"/>
          <w:lang w:val="ru-RU"/>
        </w:rPr>
        <w:t>Єдиного податку з сільськогосподарських товаровиробників, у яких частка сільськогосподарського товаровиробництва</w:t>
      </w:r>
      <w:r w:rsidRPr="00CE1571">
        <w:rPr>
          <w:szCs w:val="28"/>
          <w:lang w:val="ru-RU"/>
        </w:rPr>
        <w:t xml:space="preserve"> за попередній податковий (звітний) рік дорівнює або перевищує 75 відсотків заплановано в сумі </w:t>
      </w:r>
      <w:r w:rsidR="00CE1571" w:rsidRPr="00CE1571">
        <w:rPr>
          <w:szCs w:val="28"/>
          <w:lang w:val="ru-RU"/>
        </w:rPr>
        <w:t>7</w:t>
      </w:r>
      <w:r w:rsidRPr="00CE1571">
        <w:rPr>
          <w:szCs w:val="28"/>
          <w:lang w:val="ru-RU"/>
        </w:rPr>
        <w:t> </w:t>
      </w:r>
      <w:r w:rsidR="00CE1571" w:rsidRPr="00CE1571">
        <w:rPr>
          <w:szCs w:val="28"/>
          <w:lang w:val="ru-RU"/>
        </w:rPr>
        <w:t>2</w:t>
      </w:r>
      <w:r w:rsidRPr="00CE1571">
        <w:rPr>
          <w:szCs w:val="28"/>
          <w:lang w:val="ru-RU"/>
        </w:rPr>
        <w:t xml:space="preserve">00,0 тис. гривень, </w:t>
      </w:r>
      <w:r w:rsidR="00F474AF">
        <w:rPr>
          <w:szCs w:val="28"/>
          <w:lang w:val="ru-RU"/>
        </w:rPr>
        <w:t>або на рівні 2024 року</w:t>
      </w:r>
      <w:r w:rsidRPr="00CE1571">
        <w:rPr>
          <w:szCs w:val="28"/>
          <w:lang w:val="ru-RU"/>
        </w:rPr>
        <w:t>.</w:t>
      </w:r>
      <w:r>
        <w:rPr>
          <w:szCs w:val="28"/>
          <w:lang w:val="ru-RU"/>
        </w:rPr>
        <w:t xml:space="preserve">  </w:t>
      </w:r>
    </w:p>
    <w:p w:rsidR="000B1B98" w:rsidRDefault="000B1B98" w:rsidP="000B1B98">
      <w:pPr>
        <w:ind w:firstLine="708"/>
        <w:jc w:val="both"/>
        <w:rPr>
          <w:szCs w:val="28"/>
          <w:u w:val="single"/>
        </w:rPr>
      </w:pPr>
    </w:p>
    <w:p w:rsidR="000B1B98" w:rsidRDefault="000B1B98" w:rsidP="000B1B98">
      <w:pPr>
        <w:ind w:firstLine="708"/>
        <w:jc w:val="both"/>
        <w:rPr>
          <w:szCs w:val="28"/>
        </w:rPr>
      </w:pPr>
      <w:r>
        <w:rPr>
          <w:szCs w:val="28"/>
          <w:u w:val="single"/>
        </w:rPr>
        <w:t>Неподаткових надходжень</w:t>
      </w:r>
      <w:r>
        <w:rPr>
          <w:szCs w:val="28"/>
        </w:rPr>
        <w:t xml:space="preserve"> заплановано в сумі </w:t>
      </w:r>
      <w:r w:rsidR="00D86CC0">
        <w:rPr>
          <w:szCs w:val="28"/>
        </w:rPr>
        <w:t>3 285,5</w:t>
      </w:r>
      <w:r>
        <w:rPr>
          <w:szCs w:val="28"/>
        </w:rPr>
        <w:t xml:space="preserve"> тис. гривень, з них:</w:t>
      </w:r>
    </w:p>
    <w:p w:rsidR="000B1B98" w:rsidRDefault="000B1B98" w:rsidP="000B1B98">
      <w:pPr>
        <w:pStyle w:val="a5"/>
        <w:numPr>
          <w:ilvl w:val="0"/>
          <w:numId w:val="5"/>
        </w:numPr>
        <w:ind w:left="0" w:firstLine="720"/>
        <w:jc w:val="both"/>
        <w:rPr>
          <w:szCs w:val="28"/>
        </w:rPr>
      </w:pPr>
      <w:r>
        <w:rPr>
          <w:szCs w:val="28"/>
        </w:rPr>
        <w:t xml:space="preserve">адміністративних штрафів та інших санкцій очікується в сумі </w:t>
      </w:r>
      <w:r w:rsidR="00D86CC0">
        <w:rPr>
          <w:szCs w:val="28"/>
        </w:rPr>
        <w:t>320</w:t>
      </w:r>
      <w:r>
        <w:rPr>
          <w:szCs w:val="28"/>
        </w:rPr>
        <w:t xml:space="preserve">,0 тис. гривень, що на </w:t>
      </w:r>
      <w:r w:rsidR="00D86CC0">
        <w:rPr>
          <w:szCs w:val="28"/>
        </w:rPr>
        <w:t>14,4</w:t>
      </w:r>
      <w:r>
        <w:rPr>
          <w:szCs w:val="28"/>
        </w:rPr>
        <w:t xml:space="preserve"> тис. гривень більше;</w:t>
      </w:r>
    </w:p>
    <w:p w:rsidR="000B1B98" w:rsidRDefault="000B1B98" w:rsidP="000B1B98">
      <w:pPr>
        <w:pStyle w:val="a5"/>
        <w:numPr>
          <w:ilvl w:val="0"/>
          <w:numId w:val="5"/>
        </w:numPr>
        <w:ind w:left="0" w:firstLine="720"/>
        <w:jc w:val="both"/>
        <w:rPr>
          <w:szCs w:val="28"/>
        </w:rPr>
      </w:pPr>
      <w:r>
        <w:rPr>
          <w:szCs w:val="28"/>
        </w:rPr>
        <w:t xml:space="preserve">плати за надання адміністративних послуг заплановано </w:t>
      </w:r>
      <w:r w:rsidR="00973940">
        <w:rPr>
          <w:szCs w:val="28"/>
        </w:rPr>
        <w:t>2 1</w:t>
      </w:r>
      <w:r w:rsidR="00D86CC0">
        <w:rPr>
          <w:szCs w:val="28"/>
        </w:rPr>
        <w:t>6</w:t>
      </w:r>
      <w:r w:rsidR="00973940">
        <w:rPr>
          <w:szCs w:val="28"/>
        </w:rPr>
        <w:t>5,0</w:t>
      </w:r>
      <w:r>
        <w:rPr>
          <w:szCs w:val="28"/>
        </w:rPr>
        <w:t xml:space="preserve"> тис. гривень, або на </w:t>
      </w:r>
      <w:r w:rsidR="00D86CC0">
        <w:rPr>
          <w:szCs w:val="28"/>
        </w:rPr>
        <w:t>143,9</w:t>
      </w:r>
      <w:r>
        <w:rPr>
          <w:szCs w:val="28"/>
        </w:rPr>
        <w:t xml:space="preserve"> тис. гривень більше;</w:t>
      </w:r>
    </w:p>
    <w:p w:rsidR="000B1B98" w:rsidRDefault="000B1B98" w:rsidP="000B1B98">
      <w:pPr>
        <w:pStyle w:val="a5"/>
        <w:numPr>
          <w:ilvl w:val="0"/>
          <w:numId w:val="5"/>
        </w:numPr>
        <w:ind w:left="0" w:firstLine="720"/>
        <w:jc w:val="both"/>
        <w:rPr>
          <w:szCs w:val="28"/>
        </w:rPr>
      </w:pPr>
      <w:r>
        <w:rPr>
          <w:szCs w:val="28"/>
        </w:rPr>
        <w:t xml:space="preserve">надходження від орендної плати за користування цілісним майновим комплексом та іншим майном, що перебуває у комунальній власності – </w:t>
      </w:r>
      <w:r w:rsidR="00AF0FEA">
        <w:rPr>
          <w:szCs w:val="28"/>
        </w:rPr>
        <w:t>120,</w:t>
      </w:r>
      <w:r>
        <w:rPr>
          <w:szCs w:val="28"/>
        </w:rPr>
        <w:t xml:space="preserve">0 тис. гривень, що на </w:t>
      </w:r>
      <w:r w:rsidR="00AF0FEA">
        <w:rPr>
          <w:szCs w:val="28"/>
        </w:rPr>
        <w:t>6,0</w:t>
      </w:r>
      <w:r>
        <w:rPr>
          <w:szCs w:val="28"/>
        </w:rPr>
        <w:t xml:space="preserve"> тис. гривень більше;</w:t>
      </w:r>
    </w:p>
    <w:p w:rsidR="000B1B98" w:rsidRDefault="000B1B98" w:rsidP="000B1B98">
      <w:pPr>
        <w:pStyle w:val="a5"/>
        <w:numPr>
          <w:ilvl w:val="0"/>
          <w:numId w:val="5"/>
        </w:numPr>
        <w:ind w:left="0" w:firstLine="720"/>
        <w:jc w:val="both"/>
        <w:rPr>
          <w:szCs w:val="28"/>
        </w:rPr>
      </w:pPr>
      <w:r>
        <w:rPr>
          <w:szCs w:val="28"/>
        </w:rPr>
        <w:t xml:space="preserve">державного мита заплановано в сумі </w:t>
      </w:r>
      <w:r w:rsidR="00AF0FEA">
        <w:rPr>
          <w:szCs w:val="28"/>
        </w:rPr>
        <w:t>7,5</w:t>
      </w:r>
      <w:r>
        <w:rPr>
          <w:szCs w:val="28"/>
        </w:rPr>
        <w:t xml:space="preserve"> тис. гривень, або на </w:t>
      </w:r>
      <w:r w:rsidR="00AF0FEA">
        <w:rPr>
          <w:szCs w:val="28"/>
        </w:rPr>
        <w:t>0,8</w:t>
      </w:r>
      <w:r>
        <w:rPr>
          <w:szCs w:val="28"/>
        </w:rPr>
        <w:t xml:space="preserve"> тис. гривень більше;</w:t>
      </w:r>
    </w:p>
    <w:p w:rsidR="000B1B98" w:rsidRDefault="000B1B98" w:rsidP="000B1B98">
      <w:pPr>
        <w:pStyle w:val="a5"/>
        <w:numPr>
          <w:ilvl w:val="0"/>
          <w:numId w:val="5"/>
        </w:numPr>
        <w:ind w:left="0" w:firstLine="720"/>
        <w:jc w:val="both"/>
        <w:rPr>
          <w:szCs w:val="28"/>
        </w:rPr>
      </w:pPr>
      <w:r>
        <w:rPr>
          <w:szCs w:val="28"/>
        </w:rPr>
        <w:t xml:space="preserve">орендної плати за водні об`єкти (їх частини), що надаються в користування на умовах оренди прогнозується в сумі </w:t>
      </w:r>
      <w:r w:rsidR="00507BBE">
        <w:rPr>
          <w:szCs w:val="28"/>
        </w:rPr>
        <w:t>13,0</w:t>
      </w:r>
      <w:r>
        <w:rPr>
          <w:szCs w:val="28"/>
        </w:rPr>
        <w:t xml:space="preserve"> тис. гривень, </w:t>
      </w:r>
      <w:r w:rsidR="00507BBE">
        <w:rPr>
          <w:szCs w:val="28"/>
        </w:rPr>
        <w:t xml:space="preserve">що на </w:t>
      </w:r>
      <w:r w:rsidR="00AF0FEA">
        <w:rPr>
          <w:szCs w:val="28"/>
        </w:rPr>
        <w:t>2,2</w:t>
      </w:r>
      <w:r w:rsidR="00507BBE">
        <w:rPr>
          <w:szCs w:val="28"/>
        </w:rPr>
        <w:t xml:space="preserve"> тис. гривень</w:t>
      </w:r>
      <w:r>
        <w:rPr>
          <w:szCs w:val="28"/>
        </w:rPr>
        <w:t>;</w:t>
      </w:r>
    </w:p>
    <w:p w:rsidR="000B1B98" w:rsidRDefault="000B1B98" w:rsidP="000B1B98">
      <w:pPr>
        <w:pStyle w:val="a5"/>
        <w:numPr>
          <w:ilvl w:val="0"/>
          <w:numId w:val="5"/>
        </w:numPr>
        <w:ind w:left="0" w:firstLine="720"/>
        <w:jc w:val="both"/>
        <w:rPr>
          <w:szCs w:val="28"/>
        </w:rPr>
      </w:pPr>
      <w:r>
        <w:rPr>
          <w:szCs w:val="28"/>
        </w:rPr>
        <w:t xml:space="preserve">інші надходження заплановані в сумі </w:t>
      </w:r>
      <w:r w:rsidR="00AF0FEA">
        <w:rPr>
          <w:szCs w:val="28"/>
        </w:rPr>
        <w:t>600,0</w:t>
      </w:r>
      <w:r>
        <w:rPr>
          <w:szCs w:val="28"/>
        </w:rPr>
        <w:t xml:space="preserve"> тис. гривень, джерелами формування інших надходжень є повернення коштів за минулі роки, повернення до бюджету за навчання студентами-медиками</w:t>
      </w:r>
      <w:r w:rsidR="00E03703">
        <w:rPr>
          <w:szCs w:val="28"/>
        </w:rPr>
        <w:t xml:space="preserve"> та</w:t>
      </w:r>
      <w:r>
        <w:rPr>
          <w:szCs w:val="28"/>
        </w:rPr>
        <w:t xml:space="preserve"> відшкодування втрат за лікування потерпілого від злочину</w:t>
      </w:r>
      <w:r w:rsidR="00507BBE">
        <w:rPr>
          <w:szCs w:val="28"/>
        </w:rPr>
        <w:t>;</w:t>
      </w:r>
    </w:p>
    <w:p w:rsidR="00A747BB" w:rsidRDefault="00A747BB" w:rsidP="000B1B98">
      <w:pPr>
        <w:pStyle w:val="a5"/>
        <w:numPr>
          <w:ilvl w:val="0"/>
          <w:numId w:val="5"/>
        </w:numPr>
        <w:ind w:left="0" w:firstLine="720"/>
        <w:jc w:val="both"/>
        <w:rPr>
          <w:szCs w:val="28"/>
        </w:rPr>
      </w:pPr>
      <w:r>
        <w:rPr>
          <w:szCs w:val="28"/>
        </w:rPr>
        <w:t>к</w:t>
      </w:r>
      <w:r w:rsidRPr="00A747BB">
        <w:rPr>
          <w:szCs w:val="28"/>
        </w:rPr>
        <w:t xml:space="preserve">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w:t>
      </w:r>
      <w:r w:rsidRPr="00A747BB">
        <w:rPr>
          <w:szCs w:val="28"/>
        </w:rPr>
        <w:lastRenderedPageBreak/>
        <w:t>тимчасовим невикористанням земельних ділянок</w:t>
      </w:r>
      <w:r>
        <w:rPr>
          <w:szCs w:val="28"/>
        </w:rPr>
        <w:t xml:space="preserve"> заплановані в сумі </w:t>
      </w:r>
      <w:r w:rsidR="00E03703">
        <w:rPr>
          <w:szCs w:val="28"/>
        </w:rPr>
        <w:t>6</w:t>
      </w:r>
      <w:r>
        <w:rPr>
          <w:szCs w:val="28"/>
        </w:rPr>
        <w:t>0,0 тис. гривень.</w:t>
      </w:r>
    </w:p>
    <w:p w:rsidR="000B1B98" w:rsidRDefault="000B1B98" w:rsidP="000B1B98">
      <w:pPr>
        <w:pStyle w:val="a5"/>
        <w:ind w:left="0" w:firstLine="567"/>
        <w:jc w:val="both"/>
        <w:rPr>
          <w:szCs w:val="28"/>
        </w:rPr>
      </w:pPr>
    </w:p>
    <w:p w:rsidR="000B1B98" w:rsidRPr="00BB42F3" w:rsidRDefault="000B1B98" w:rsidP="000B1B98">
      <w:pPr>
        <w:pStyle w:val="a5"/>
        <w:ind w:left="0" w:firstLine="567"/>
        <w:jc w:val="center"/>
        <w:rPr>
          <w:b/>
          <w:szCs w:val="28"/>
        </w:rPr>
      </w:pPr>
      <w:r w:rsidRPr="00BB42F3">
        <w:rPr>
          <w:b/>
          <w:szCs w:val="28"/>
        </w:rPr>
        <w:t>СПЕЦІАЛЬНИЙ ФОНД</w:t>
      </w:r>
    </w:p>
    <w:p w:rsidR="000B1B98" w:rsidRPr="00BB42F3" w:rsidRDefault="000B1B98" w:rsidP="000B1B98">
      <w:pPr>
        <w:pStyle w:val="a5"/>
        <w:ind w:left="0" w:firstLine="567"/>
        <w:jc w:val="center"/>
        <w:rPr>
          <w:b/>
          <w:szCs w:val="28"/>
        </w:rPr>
      </w:pPr>
    </w:p>
    <w:p w:rsidR="000B1B98" w:rsidRPr="00BB42F3" w:rsidRDefault="000B1B98" w:rsidP="000B1B98">
      <w:pPr>
        <w:pStyle w:val="a5"/>
        <w:ind w:left="0" w:firstLine="567"/>
        <w:jc w:val="both"/>
        <w:rPr>
          <w:szCs w:val="28"/>
        </w:rPr>
      </w:pPr>
      <w:r w:rsidRPr="00BB42F3">
        <w:rPr>
          <w:szCs w:val="28"/>
        </w:rPr>
        <w:t>Прогнозна сума надходжень спеціального фонду бюджету Тростянецької МТГ на 202</w:t>
      </w:r>
      <w:r w:rsidR="001C4369" w:rsidRPr="00BB42F3">
        <w:rPr>
          <w:szCs w:val="28"/>
        </w:rPr>
        <w:t>5</w:t>
      </w:r>
      <w:r w:rsidRPr="00BB42F3">
        <w:rPr>
          <w:szCs w:val="28"/>
        </w:rPr>
        <w:t xml:space="preserve"> рік обрахована в сумі </w:t>
      </w:r>
      <w:r w:rsidR="00BB42F3" w:rsidRPr="00BB42F3">
        <w:rPr>
          <w:szCs w:val="28"/>
        </w:rPr>
        <w:t>1 600,4</w:t>
      </w:r>
      <w:r w:rsidRPr="00BB42F3">
        <w:rPr>
          <w:szCs w:val="28"/>
        </w:rPr>
        <w:t xml:space="preserve"> тис. гривень, в тому числі: бюджет розвитку – </w:t>
      </w:r>
      <w:r w:rsidR="00BB42F3" w:rsidRPr="00BB42F3">
        <w:rPr>
          <w:szCs w:val="28"/>
        </w:rPr>
        <w:t>1 012,0</w:t>
      </w:r>
      <w:r w:rsidRPr="00BB42F3">
        <w:rPr>
          <w:szCs w:val="28"/>
        </w:rPr>
        <w:t xml:space="preserve"> тис. гривень.</w:t>
      </w:r>
    </w:p>
    <w:p w:rsidR="000B1B98" w:rsidRPr="00BB42F3" w:rsidRDefault="000B1B98" w:rsidP="000B1B98">
      <w:pPr>
        <w:pStyle w:val="a5"/>
        <w:ind w:left="0" w:firstLine="567"/>
        <w:jc w:val="both"/>
        <w:rPr>
          <w:szCs w:val="28"/>
        </w:rPr>
      </w:pPr>
      <w:r w:rsidRPr="00BB42F3">
        <w:rPr>
          <w:szCs w:val="28"/>
        </w:rPr>
        <w:t xml:space="preserve">Власних надходжень бюджетних установ заплановано в сумі </w:t>
      </w:r>
      <w:r w:rsidR="00BB42F3" w:rsidRPr="00BB42F3">
        <w:rPr>
          <w:szCs w:val="28"/>
        </w:rPr>
        <w:t>500,0</w:t>
      </w:r>
      <w:r w:rsidRPr="00BB42F3">
        <w:rPr>
          <w:szCs w:val="28"/>
        </w:rPr>
        <w:t xml:space="preserve"> тис. гривень.</w:t>
      </w:r>
    </w:p>
    <w:p w:rsidR="000B1B98" w:rsidRPr="00BB42F3" w:rsidRDefault="000B1B98" w:rsidP="000B1B98">
      <w:pPr>
        <w:pStyle w:val="a5"/>
        <w:ind w:left="0" w:firstLine="567"/>
        <w:jc w:val="both"/>
        <w:rPr>
          <w:bCs/>
          <w:szCs w:val="28"/>
        </w:rPr>
      </w:pPr>
      <w:r w:rsidRPr="00BB42F3">
        <w:rPr>
          <w:szCs w:val="28"/>
        </w:rPr>
        <w:t xml:space="preserve">Екологічного податку прогнозовано в сумі </w:t>
      </w:r>
      <w:r w:rsidR="00BB42F3" w:rsidRPr="00BB42F3">
        <w:rPr>
          <w:szCs w:val="28"/>
        </w:rPr>
        <w:t>88,0</w:t>
      </w:r>
      <w:r w:rsidRPr="00BB42F3">
        <w:rPr>
          <w:szCs w:val="28"/>
        </w:rPr>
        <w:t xml:space="preserve"> тис. гривень, або на </w:t>
      </w:r>
      <w:r w:rsidR="00BB42F3" w:rsidRPr="00BB42F3">
        <w:rPr>
          <w:szCs w:val="28"/>
        </w:rPr>
        <w:t>4</w:t>
      </w:r>
      <w:r w:rsidRPr="00BB42F3">
        <w:rPr>
          <w:szCs w:val="28"/>
        </w:rPr>
        <w:t>,6 тис. гривень більше очікуваних надходжень 202</w:t>
      </w:r>
      <w:r w:rsidR="00BB42F3" w:rsidRPr="00BB42F3">
        <w:rPr>
          <w:szCs w:val="28"/>
        </w:rPr>
        <w:t>4</w:t>
      </w:r>
      <w:r w:rsidRPr="00BB42F3">
        <w:rPr>
          <w:szCs w:val="28"/>
        </w:rPr>
        <w:t xml:space="preserve"> року.  </w:t>
      </w:r>
    </w:p>
    <w:p w:rsidR="00580F81" w:rsidRPr="00BB42F3" w:rsidRDefault="000B1B98" w:rsidP="000B1B98">
      <w:pPr>
        <w:pStyle w:val="a5"/>
        <w:ind w:left="0" w:firstLine="567"/>
        <w:jc w:val="both"/>
        <w:rPr>
          <w:szCs w:val="28"/>
        </w:rPr>
      </w:pPr>
      <w:r w:rsidRPr="00BB42F3">
        <w:rPr>
          <w:szCs w:val="28"/>
        </w:rPr>
        <w:t xml:space="preserve">Надходжень від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заплановано в сумі </w:t>
      </w:r>
      <w:r w:rsidR="00BB42F3" w:rsidRPr="00BB42F3">
        <w:rPr>
          <w:szCs w:val="28"/>
        </w:rPr>
        <w:t>0,4</w:t>
      </w:r>
      <w:r w:rsidRPr="00BB42F3">
        <w:rPr>
          <w:szCs w:val="28"/>
        </w:rPr>
        <w:t xml:space="preserve"> тис. гривень, що на </w:t>
      </w:r>
      <w:r w:rsidR="00BB42F3" w:rsidRPr="00BB42F3">
        <w:rPr>
          <w:szCs w:val="28"/>
        </w:rPr>
        <w:t>рівні 2024 року</w:t>
      </w:r>
      <w:r w:rsidRPr="00BB42F3">
        <w:rPr>
          <w:szCs w:val="28"/>
        </w:rPr>
        <w:t xml:space="preserve">. </w:t>
      </w:r>
    </w:p>
    <w:p w:rsidR="000B1B98" w:rsidRPr="00BB42F3" w:rsidRDefault="000B1B98" w:rsidP="000B1B98">
      <w:pPr>
        <w:pStyle w:val="a5"/>
        <w:ind w:left="0" w:firstLine="567"/>
        <w:jc w:val="both"/>
        <w:rPr>
          <w:szCs w:val="28"/>
        </w:rPr>
      </w:pPr>
      <w:r w:rsidRPr="00BB42F3">
        <w:rPr>
          <w:szCs w:val="28"/>
        </w:rPr>
        <w:t xml:space="preserve">Надходження бюджету розвитку складають </w:t>
      </w:r>
      <w:r w:rsidR="00BB42F3" w:rsidRPr="00BB42F3">
        <w:rPr>
          <w:szCs w:val="28"/>
        </w:rPr>
        <w:t>1 012,0</w:t>
      </w:r>
      <w:r w:rsidRPr="00BB42F3">
        <w:rPr>
          <w:szCs w:val="28"/>
        </w:rPr>
        <w:t xml:space="preserve"> тис. гривень, з них:</w:t>
      </w:r>
    </w:p>
    <w:p w:rsidR="000B1B98" w:rsidRPr="00BB42F3" w:rsidRDefault="000B1B98" w:rsidP="000B1B98">
      <w:pPr>
        <w:pStyle w:val="a5"/>
        <w:numPr>
          <w:ilvl w:val="0"/>
          <w:numId w:val="5"/>
        </w:numPr>
        <w:ind w:left="0" w:firstLine="720"/>
        <w:jc w:val="both"/>
        <w:rPr>
          <w:szCs w:val="28"/>
        </w:rPr>
      </w:pPr>
      <w:r w:rsidRPr="00BB42F3">
        <w:rPr>
          <w:i/>
          <w:szCs w:val="28"/>
        </w:rPr>
        <w:t>надходження від відчуження майна, що перебуває у комунальній власності</w:t>
      </w:r>
      <w:r w:rsidRPr="00BB42F3">
        <w:rPr>
          <w:szCs w:val="28"/>
        </w:rPr>
        <w:t xml:space="preserve"> складуть </w:t>
      </w:r>
      <w:r w:rsidR="00BB42F3" w:rsidRPr="00BB42F3">
        <w:rPr>
          <w:szCs w:val="28"/>
        </w:rPr>
        <w:t>300,0</w:t>
      </w:r>
      <w:r w:rsidRPr="00BB42F3">
        <w:rPr>
          <w:szCs w:val="28"/>
        </w:rPr>
        <w:t xml:space="preserve"> тис. гривень;</w:t>
      </w:r>
    </w:p>
    <w:p w:rsidR="00ED0B90" w:rsidRPr="00BB42F3" w:rsidRDefault="000B1B98" w:rsidP="00BB42F3">
      <w:pPr>
        <w:pStyle w:val="a5"/>
        <w:numPr>
          <w:ilvl w:val="0"/>
          <w:numId w:val="5"/>
        </w:numPr>
        <w:ind w:left="0" w:firstLine="720"/>
        <w:jc w:val="both"/>
        <w:rPr>
          <w:b/>
          <w:bCs/>
          <w:szCs w:val="28"/>
        </w:rPr>
      </w:pPr>
      <w:r w:rsidRPr="00BB42F3">
        <w:rPr>
          <w:szCs w:val="28"/>
        </w:rPr>
        <w:t xml:space="preserve">плануються </w:t>
      </w:r>
      <w:r w:rsidRPr="00BB42F3">
        <w:rPr>
          <w:i/>
          <w:szCs w:val="28"/>
        </w:rPr>
        <w:t>надходження від продажу земельних ділянок</w:t>
      </w:r>
      <w:r w:rsidRPr="00BB42F3">
        <w:rPr>
          <w:szCs w:val="28"/>
        </w:rPr>
        <w:t xml:space="preserve"> в сумі </w:t>
      </w:r>
      <w:r w:rsidR="00BB42F3" w:rsidRPr="00BB42F3">
        <w:rPr>
          <w:szCs w:val="28"/>
        </w:rPr>
        <w:t>712,0</w:t>
      </w:r>
      <w:r w:rsidRPr="00BB42F3">
        <w:rPr>
          <w:szCs w:val="28"/>
        </w:rPr>
        <w:t xml:space="preserve"> тис. гривень</w:t>
      </w:r>
      <w:r w:rsidR="00BB42F3">
        <w:rPr>
          <w:szCs w:val="28"/>
        </w:rPr>
        <w:t>.</w:t>
      </w:r>
    </w:p>
    <w:p w:rsidR="00ED0B90" w:rsidRPr="008B7399" w:rsidRDefault="00ED0B90" w:rsidP="00ED0B90">
      <w:pPr>
        <w:pStyle w:val="ab"/>
        <w:spacing w:before="0"/>
        <w:ind w:left="1069" w:firstLine="0"/>
        <w:jc w:val="center"/>
        <w:rPr>
          <w:b/>
          <w:bCs/>
          <w:sz w:val="28"/>
          <w:szCs w:val="28"/>
        </w:rPr>
      </w:pPr>
      <w:r w:rsidRPr="008B7399">
        <w:rPr>
          <w:b/>
          <w:bCs/>
          <w:sz w:val="28"/>
          <w:szCs w:val="28"/>
        </w:rPr>
        <w:t>ВИДАТКИ</w:t>
      </w:r>
    </w:p>
    <w:p w:rsidR="00ED0B90" w:rsidRDefault="00ED0B90" w:rsidP="00ED0B90">
      <w:pPr>
        <w:pStyle w:val="ab"/>
        <w:spacing w:before="0"/>
        <w:ind w:left="1069" w:firstLine="0"/>
        <w:rPr>
          <w:sz w:val="28"/>
          <w:szCs w:val="28"/>
        </w:rPr>
      </w:pPr>
    </w:p>
    <w:p w:rsidR="00ED0B90" w:rsidRDefault="00ED0B90" w:rsidP="00ED0B90">
      <w:pPr>
        <w:pStyle w:val="ab"/>
        <w:spacing w:before="0"/>
        <w:jc w:val="both"/>
        <w:rPr>
          <w:rStyle w:val="apple-style-span"/>
          <w:szCs w:val="28"/>
        </w:rPr>
      </w:pPr>
      <w:r w:rsidRPr="00B637FD">
        <w:rPr>
          <w:sz w:val="28"/>
          <w:szCs w:val="28"/>
        </w:rPr>
        <w:t xml:space="preserve">Прогнозні показники видатків та кредитування </w:t>
      </w:r>
      <w:r w:rsidRPr="008B7399">
        <w:rPr>
          <w:rStyle w:val="apple-style-span"/>
          <w:sz w:val="28"/>
          <w:szCs w:val="28"/>
        </w:rPr>
        <w:t>бюджету територіальної громади</w:t>
      </w:r>
      <w:r w:rsidRPr="008B7399">
        <w:rPr>
          <w:sz w:val="28"/>
          <w:szCs w:val="28"/>
        </w:rPr>
        <w:t xml:space="preserve"> </w:t>
      </w:r>
      <w:r w:rsidRPr="00B637FD">
        <w:rPr>
          <w:sz w:val="28"/>
          <w:szCs w:val="28"/>
        </w:rPr>
        <w:t xml:space="preserve">на </w:t>
      </w:r>
      <w:r>
        <w:rPr>
          <w:sz w:val="28"/>
          <w:szCs w:val="28"/>
        </w:rPr>
        <w:t>2025</w:t>
      </w:r>
      <w:r w:rsidRPr="00B637FD">
        <w:rPr>
          <w:sz w:val="28"/>
          <w:szCs w:val="28"/>
        </w:rPr>
        <w:t xml:space="preserve"> р</w:t>
      </w:r>
      <w:r>
        <w:rPr>
          <w:sz w:val="28"/>
          <w:szCs w:val="28"/>
        </w:rPr>
        <w:t>і</w:t>
      </w:r>
      <w:r w:rsidRPr="00B637FD">
        <w:rPr>
          <w:sz w:val="28"/>
          <w:szCs w:val="28"/>
        </w:rPr>
        <w:t xml:space="preserve">к </w:t>
      </w:r>
      <w:r>
        <w:rPr>
          <w:sz w:val="28"/>
          <w:szCs w:val="28"/>
        </w:rPr>
        <w:t>розраховані на основі</w:t>
      </w:r>
      <w:r w:rsidRPr="00B637FD">
        <w:rPr>
          <w:sz w:val="28"/>
          <w:szCs w:val="28"/>
        </w:rPr>
        <w:t xml:space="preserve"> прогнозних показників дохідної частини </w:t>
      </w:r>
      <w:r w:rsidRPr="008B7399">
        <w:rPr>
          <w:rStyle w:val="apple-style-span"/>
          <w:sz w:val="28"/>
          <w:szCs w:val="28"/>
        </w:rPr>
        <w:t>бюджету Тростянец</w:t>
      </w:r>
      <w:r w:rsidRPr="008B7399">
        <w:rPr>
          <w:sz w:val="28"/>
          <w:szCs w:val="28"/>
        </w:rPr>
        <w:t>ької</w:t>
      </w:r>
      <w:r w:rsidRPr="0093560E">
        <w:rPr>
          <w:sz w:val="28"/>
          <w:szCs w:val="28"/>
        </w:rPr>
        <w:t xml:space="preserve"> міської територіальної громади</w:t>
      </w:r>
      <w:r>
        <w:rPr>
          <w:sz w:val="28"/>
          <w:szCs w:val="28"/>
        </w:rPr>
        <w:t xml:space="preserve"> та складають </w:t>
      </w:r>
      <w:r w:rsidR="00BB42F3">
        <w:rPr>
          <w:sz w:val="28"/>
          <w:szCs w:val="28"/>
        </w:rPr>
        <w:t>239 485,9</w:t>
      </w:r>
      <w:r>
        <w:rPr>
          <w:sz w:val="28"/>
          <w:szCs w:val="28"/>
        </w:rPr>
        <w:t xml:space="preserve"> тис. гривень</w:t>
      </w:r>
      <w:r w:rsidR="00BB42F3">
        <w:rPr>
          <w:sz w:val="28"/>
          <w:szCs w:val="28"/>
        </w:rPr>
        <w:t xml:space="preserve"> (без урахування трансфертів)</w:t>
      </w:r>
      <w:bookmarkStart w:id="0" w:name="_GoBack"/>
      <w:bookmarkEnd w:id="0"/>
      <w:r>
        <w:rPr>
          <w:sz w:val="28"/>
          <w:szCs w:val="28"/>
        </w:rPr>
        <w:t>.</w:t>
      </w:r>
      <w:r w:rsidRPr="00B637FD">
        <w:rPr>
          <w:rStyle w:val="apple-style-span"/>
          <w:szCs w:val="28"/>
        </w:rPr>
        <w:t xml:space="preserve"> </w:t>
      </w:r>
    </w:p>
    <w:p w:rsidR="00ED0B90" w:rsidRPr="00B637FD" w:rsidRDefault="00ED0B90" w:rsidP="00ED0B90">
      <w:pPr>
        <w:pStyle w:val="ab"/>
        <w:spacing w:before="0"/>
        <w:jc w:val="both"/>
        <w:rPr>
          <w:sz w:val="28"/>
          <w:szCs w:val="28"/>
        </w:rPr>
      </w:pPr>
      <w:r w:rsidRPr="00B637FD">
        <w:rPr>
          <w:sz w:val="28"/>
          <w:szCs w:val="28"/>
        </w:rPr>
        <w:t xml:space="preserve">В першу чергу в них враховані вимоги частини 4 статті 77 Бюджетного кодексу України щодо забезпечення в </w:t>
      </w:r>
      <w:r w:rsidRPr="00B637FD">
        <w:rPr>
          <w:sz w:val="28"/>
          <w:szCs w:val="28"/>
          <w:shd w:val="clear" w:color="auto" w:fill="FFFFFF"/>
        </w:rPr>
        <w:t>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r w:rsidRPr="00B637FD">
        <w:rPr>
          <w:sz w:val="28"/>
          <w:szCs w:val="28"/>
        </w:rPr>
        <w:t xml:space="preserve"> </w:t>
      </w:r>
    </w:p>
    <w:p w:rsidR="00ED0B90" w:rsidRPr="00ED0B90" w:rsidRDefault="00ED0B90" w:rsidP="00ED0B90">
      <w:pPr>
        <w:tabs>
          <w:tab w:val="left" w:pos="900"/>
        </w:tabs>
        <w:ind w:firstLine="709"/>
        <w:jc w:val="both"/>
        <w:rPr>
          <w:szCs w:val="28"/>
        </w:rPr>
      </w:pPr>
      <w:r w:rsidRPr="00ED0B90">
        <w:rPr>
          <w:szCs w:val="28"/>
        </w:rPr>
        <w:t xml:space="preserve">Також враховані обсяги видатків, необхідні для забезпечення стабільної роботи установ та закладів соціально-культурної сфери, державного управління, надання встановлених власних соціальних гарантій для малозахищених категорій громадян, підтримку в належному стані об’єктів житлово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цільових (комплексних) програм. </w:t>
      </w:r>
    </w:p>
    <w:p w:rsidR="00ED0B90" w:rsidRDefault="00ED0B90" w:rsidP="00ED0B90">
      <w:pPr>
        <w:ind w:firstLine="708"/>
        <w:jc w:val="both"/>
      </w:pPr>
    </w:p>
    <w:p w:rsidR="00ED0B90" w:rsidRDefault="00ED0B90" w:rsidP="00ED0B90">
      <w:pPr>
        <w:ind w:firstLine="708"/>
        <w:jc w:val="both"/>
      </w:pPr>
      <w:r>
        <w:t>На даний час проєкт бюджету на 202</w:t>
      </w:r>
      <w:r w:rsidR="004E5725">
        <w:t>5</w:t>
      </w:r>
      <w:r>
        <w:t xml:space="preserve"> рік в процесі обговорення та може бути змінено.</w:t>
      </w:r>
    </w:p>
    <w:p w:rsidR="00ED0B90" w:rsidRDefault="00ED0B90" w:rsidP="00ED0B90">
      <w:pPr>
        <w:jc w:val="both"/>
        <w:rPr>
          <w:b/>
          <w:bCs/>
        </w:rPr>
      </w:pPr>
    </w:p>
    <w:p w:rsidR="00ED0B90" w:rsidRDefault="00ED0B90" w:rsidP="00ED0B90">
      <w:pPr>
        <w:jc w:val="both"/>
        <w:rPr>
          <w:b/>
          <w:bCs/>
        </w:rPr>
      </w:pPr>
    </w:p>
    <w:p w:rsidR="00ED0B90" w:rsidRDefault="00ED0B90" w:rsidP="00ED0B90">
      <w:pPr>
        <w:jc w:val="both"/>
        <w:rPr>
          <w:b/>
          <w:bCs/>
        </w:rPr>
      </w:pPr>
    </w:p>
    <w:p w:rsidR="00ED0B90" w:rsidRPr="00ED0B90" w:rsidRDefault="00ED0B90" w:rsidP="00ED0B90">
      <w:pPr>
        <w:jc w:val="both"/>
        <w:rPr>
          <w:b/>
          <w:bCs/>
        </w:rPr>
      </w:pPr>
      <w:r w:rsidRPr="00ED0B90">
        <w:rPr>
          <w:b/>
          <w:bCs/>
        </w:rPr>
        <w:t>Начальник фінансового управління</w:t>
      </w:r>
      <w:r w:rsidRPr="00ED0B90">
        <w:rPr>
          <w:b/>
          <w:bCs/>
        </w:rPr>
        <w:tab/>
      </w:r>
      <w:r w:rsidRPr="00ED0B90">
        <w:rPr>
          <w:b/>
          <w:bCs/>
        </w:rPr>
        <w:tab/>
      </w:r>
      <w:r w:rsidRPr="00ED0B90">
        <w:rPr>
          <w:b/>
          <w:bCs/>
        </w:rPr>
        <w:tab/>
      </w:r>
      <w:r w:rsidRPr="00ED0B90">
        <w:rPr>
          <w:b/>
          <w:bCs/>
        </w:rPr>
        <w:tab/>
        <w:t>Марина СУБОТ</w:t>
      </w:r>
    </w:p>
    <w:p w:rsidR="00E92F61" w:rsidRDefault="00E92F61"/>
    <w:sectPr w:rsidR="00E92F61" w:rsidSect="00530BB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3FDC"/>
    <w:multiLevelType w:val="hybridMultilevel"/>
    <w:tmpl w:val="A300ABB0"/>
    <w:lvl w:ilvl="0" w:tplc="91C0DF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CA0EF4"/>
    <w:multiLevelType w:val="multilevel"/>
    <w:tmpl w:val="9FA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33D06"/>
    <w:multiLevelType w:val="hybridMultilevel"/>
    <w:tmpl w:val="55A07230"/>
    <w:lvl w:ilvl="0" w:tplc="F528C4B8">
      <w:numFmt w:val="bullet"/>
      <w:suff w:val="nothing"/>
      <w:lvlText w:val="-"/>
      <w:lvlJc w:val="left"/>
      <w:pPr>
        <w:ind w:left="567" w:firstLine="113"/>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3" w15:restartNumberingAfterBreak="0">
    <w:nsid w:val="2E5F1BD1"/>
    <w:multiLevelType w:val="hybridMultilevel"/>
    <w:tmpl w:val="AC7EF59A"/>
    <w:lvl w:ilvl="0" w:tplc="749279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667BD"/>
    <w:multiLevelType w:val="multilevel"/>
    <w:tmpl w:val="103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7F36"/>
    <w:multiLevelType w:val="hybridMultilevel"/>
    <w:tmpl w:val="0FF4871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3918072E"/>
    <w:multiLevelType w:val="hybridMultilevel"/>
    <w:tmpl w:val="F9E46056"/>
    <w:lvl w:ilvl="0" w:tplc="7492793C">
      <w:start w:val="1"/>
      <w:numFmt w:val="bullet"/>
      <w:lvlText w:val=""/>
      <w:lvlJc w:val="left"/>
      <w:pPr>
        <w:ind w:left="1637"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Courier New" w:hint="default"/>
      </w:rPr>
    </w:lvl>
    <w:lvl w:ilvl="8" w:tplc="04090005">
      <w:start w:val="1"/>
      <w:numFmt w:val="bullet"/>
      <w:lvlText w:val=""/>
      <w:lvlJc w:val="left"/>
      <w:pPr>
        <w:ind w:left="7397" w:hanging="360"/>
      </w:pPr>
      <w:rPr>
        <w:rFonts w:ascii="Wingdings" w:hAnsi="Wingdings" w:hint="default"/>
      </w:rPr>
    </w:lvl>
  </w:abstractNum>
  <w:abstractNum w:abstractNumId="7" w15:restartNumberingAfterBreak="0">
    <w:nsid w:val="68DB6524"/>
    <w:multiLevelType w:val="hybridMultilevel"/>
    <w:tmpl w:val="E7D20060"/>
    <w:lvl w:ilvl="0" w:tplc="4E988172">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8" w15:restartNumberingAfterBreak="0">
    <w:nsid w:val="77640F80"/>
    <w:multiLevelType w:val="hybridMultilevel"/>
    <w:tmpl w:val="BCB4EC44"/>
    <w:lvl w:ilvl="0" w:tplc="8348003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5"/>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98"/>
    <w:rsid w:val="00000856"/>
    <w:rsid w:val="00051C21"/>
    <w:rsid w:val="00056AE5"/>
    <w:rsid w:val="000B1B98"/>
    <w:rsid w:val="000B707E"/>
    <w:rsid w:val="000C6D7E"/>
    <w:rsid w:val="000C7E3C"/>
    <w:rsid w:val="000F5703"/>
    <w:rsid w:val="00105B0A"/>
    <w:rsid w:val="00135521"/>
    <w:rsid w:val="00190CDB"/>
    <w:rsid w:val="001C4369"/>
    <w:rsid w:val="001D2F86"/>
    <w:rsid w:val="001D33EC"/>
    <w:rsid w:val="001E2661"/>
    <w:rsid w:val="002774DE"/>
    <w:rsid w:val="00284777"/>
    <w:rsid w:val="002B39E7"/>
    <w:rsid w:val="002D3DA8"/>
    <w:rsid w:val="002F261E"/>
    <w:rsid w:val="002F3823"/>
    <w:rsid w:val="00393EF4"/>
    <w:rsid w:val="00394224"/>
    <w:rsid w:val="003B5442"/>
    <w:rsid w:val="003B6F7D"/>
    <w:rsid w:val="003C3EF1"/>
    <w:rsid w:val="0046643E"/>
    <w:rsid w:val="0047278B"/>
    <w:rsid w:val="004B2353"/>
    <w:rsid w:val="004C2869"/>
    <w:rsid w:val="004D4D75"/>
    <w:rsid w:val="004E5725"/>
    <w:rsid w:val="004F17A6"/>
    <w:rsid w:val="00501667"/>
    <w:rsid w:val="005079DC"/>
    <w:rsid w:val="00507BBE"/>
    <w:rsid w:val="0052115B"/>
    <w:rsid w:val="00530BB9"/>
    <w:rsid w:val="00563021"/>
    <w:rsid w:val="0057406A"/>
    <w:rsid w:val="00580F81"/>
    <w:rsid w:val="00592D89"/>
    <w:rsid w:val="005A4C2E"/>
    <w:rsid w:val="005C004E"/>
    <w:rsid w:val="00617CA7"/>
    <w:rsid w:val="006250BE"/>
    <w:rsid w:val="00627FEA"/>
    <w:rsid w:val="00632559"/>
    <w:rsid w:val="0063734B"/>
    <w:rsid w:val="00644DD6"/>
    <w:rsid w:val="006C328C"/>
    <w:rsid w:val="006C3D43"/>
    <w:rsid w:val="006C5241"/>
    <w:rsid w:val="00722CCB"/>
    <w:rsid w:val="007303BF"/>
    <w:rsid w:val="0073737D"/>
    <w:rsid w:val="007409C0"/>
    <w:rsid w:val="00745A9D"/>
    <w:rsid w:val="00753E77"/>
    <w:rsid w:val="00792747"/>
    <w:rsid w:val="007C46CB"/>
    <w:rsid w:val="007C72AB"/>
    <w:rsid w:val="007F2DE2"/>
    <w:rsid w:val="0082560F"/>
    <w:rsid w:val="008400D9"/>
    <w:rsid w:val="00861581"/>
    <w:rsid w:val="008655F8"/>
    <w:rsid w:val="008A1532"/>
    <w:rsid w:val="008B6A36"/>
    <w:rsid w:val="008E73B8"/>
    <w:rsid w:val="008E74B9"/>
    <w:rsid w:val="00906B96"/>
    <w:rsid w:val="0090772E"/>
    <w:rsid w:val="0092743E"/>
    <w:rsid w:val="0093115D"/>
    <w:rsid w:val="00937CFF"/>
    <w:rsid w:val="00947917"/>
    <w:rsid w:val="00973940"/>
    <w:rsid w:val="009A04F8"/>
    <w:rsid w:val="009A21A4"/>
    <w:rsid w:val="009A4417"/>
    <w:rsid w:val="009F1F45"/>
    <w:rsid w:val="009F7CA2"/>
    <w:rsid w:val="00A03AD5"/>
    <w:rsid w:val="00A1318D"/>
    <w:rsid w:val="00A667A1"/>
    <w:rsid w:val="00A7169C"/>
    <w:rsid w:val="00A747BB"/>
    <w:rsid w:val="00A77A11"/>
    <w:rsid w:val="00A870DF"/>
    <w:rsid w:val="00AC3486"/>
    <w:rsid w:val="00AC4E75"/>
    <w:rsid w:val="00AC7A77"/>
    <w:rsid w:val="00AD6079"/>
    <w:rsid w:val="00AF0FEA"/>
    <w:rsid w:val="00B17776"/>
    <w:rsid w:val="00B32454"/>
    <w:rsid w:val="00B32D7B"/>
    <w:rsid w:val="00B345F0"/>
    <w:rsid w:val="00B640A0"/>
    <w:rsid w:val="00B877E7"/>
    <w:rsid w:val="00BB42F3"/>
    <w:rsid w:val="00BE7B8C"/>
    <w:rsid w:val="00C001B2"/>
    <w:rsid w:val="00C448DD"/>
    <w:rsid w:val="00C546A7"/>
    <w:rsid w:val="00C55CC6"/>
    <w:rsid w:val="00C76B46"/>
    <w:rsid w:val="00C81F37"/>
    <w:rsid w:val="00C840DC"/>
    <w:rsid w:val="00C84DDA"/>
    <w:rsid w:val="00CA26E4"/>
    <w:rsid w:val="00CD548C"/>
    <w:rsid w:val="00CE1571"/>
    <w:rsid w:val="00CF3E4E"/>
    <w:rsid w:val="00D011E6"/>
    <w:rsid w:val="00D12055"/>
    <w:rsid w:val="00D13527"/>
    <w:rsid w:val="00D86CC0"/>
    <w:rsid w:val="00D911D8"/>
    <w:rsid w:val="00E03703"/>
    <w:rsid w:val="00E65D21"/>
    <w:rsid w:val="00E92F61"/>
    <w:rsid w:val="00EA17B7"/>
    <w:rsid w:val="00EB0F2A"/>
    <w:rsid w:val="00ED0B90"/>
    <w:rsid w:val="00EE2A57"/>
    <w:rsid w:val="00EE6039"/>
    <w:rsid w:val="00F00540"/>
    <w:rsid w:val="00F1198B"/>
    <w:rsid w:val="00F474AF"/>
    <w:rsid w:val="00F61BD1"/>
    <w:rsid w:val="00F73FF4"/>
    <w:rsid w:val="00F82FD3"/>
    <w:rsid w:val="00FF19DC"/>
    <w:rsid w:val="00FF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7740"/>
  <w15:chartTrackingRefBased/>
  <w15:docId w15:val="{ACFCE485-8313-4EEC-B2DC-693D77B5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1B98"/>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B1B98"/>
    <w:rPr>
      <w:rFonts w:ascii="Times New Roman" w:hAnsi="Times New Roman" w:cs="Times New Roman" w:hint="default"/>
      <w:color w:val="0000FF"/>
      <w:u w:val="single"/>
    </w:rPr>
  </w:style>
  <w:style w:type="character" w:customStyle="1" w:styleId="a4">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5"/>
    <w:locked/>
    <w:rsid w:val="000B1B98"/>
    <w:rPr>
      <w:rFonts w:ascii="Times" w:hAnsi="Times" w:cs="Times"/>
      <w:spacing w:val="8"/>
      <w:sz w:val="28"/>
      <w:lang w:val="uk-UA" w:eastAsia="ru-RU"/>
    </w:rPr>
  </w:style>
  <w:style w:type="paragraph" w:styleId="a5">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Знак11 Знак"/>
    <w:basedOn w:val="a"/>
    <w:link w:val="a4"/>
    <w:uiPriority w:val="99"/>
    <w:unhideWhenUsed/>
    <w:qFormat/>
    <w:rsid w:val="000B1B98"/>
    <w:pPr>
      <w:ind w:left="720"/>
      <w:contextualSpacing/>
    </w:pPr>
    <w:rPr>
      <w:rFonts w:ascii="Times" w:eastAsiaTheme="minorHAnsi" w:hAnsi="Times" w:cs="Times"/>
      <w:spacing w:val="8"/>
      <w:szCs w:val="22"/>
    </w:rPr>
  </w:style>
  <w:style w:type="table" w:styleId="a6">
    <w:name w:val="Table Grid"/>
    <w:basedOn w:val="a1"/>
    <w:rsid w:val="000B1B98"/>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3527"/>
    <w:pPr>
      <w:ind w:left="720"/>
      <w:contextualSpacing/>
    </w:pPr>
  </w:style>
  <w:style w:type="paragraph" w:styleId="a8">
    <w:name w:val="No Spacing"/>
    <w:uiPriority w:val="1"/>
    <w:qFormat/>
    <w:rsid w:val="00284777"/>
    <w:pPr>
      <w:spacing w:after="0" w:line="240" w:lineRule="auto"/>
    </w:pPr>
    <w:rPr>
      <w:lang w:val="en-US"/>
    </w:rPr>
  </w:style>
  <w:style w:type="paragraph" w:styleId="a9">
    <w:name w:val="Balloon Text"/>
    <w:basedOn w:val="a"/>
    <w:link w:val="aa"/>
    <w:uiPriority w:val="99"/>
    <w:semiHidden/>
    <w:unhideWhenUsed/>
    <w:rsid w:val="002F3823"/>
    <w:rPr>
      <w:rFonts w:ascii="Segoe UI" w:hAnsi="Segoe UI" w:cs="Segoe UI"/>
      <w:sz w:val="18"/>
      <w:szCs w:val="18"/>
    </w:rPr>
  </w:style>
  <w:style w:type="character" w:customStyle="1" w:styleId="aa">
    <w:name w:val="Текст у виносці Знак"/>
    <w:basedOn w:val="a0"/>
    <w:link w:val="a9"/>
    <w:uiPriority w:val="99"/>
    <w:semiHidden/>
    <w:rsid w:val="002F3823"/>
    <w:rPr>
      <w:rFonts w:ascii="Segoe UI" w:eastAsia="Times New Roman" w:hAnsi="Segoe UI" w:cs="Segoe UI"/>
      <w:sz w:val="18"/>
      <w:szCs w:val="18"/>
      <w:lang w:val="uk-UA" w:eastAsia="ru-RU"/>
    </w:rPr>
  </w:style>
  <w:style w:type="character" w:customStyle="1" w:styleId="apple-style-span">
    <w:name w:val="apple-style-span"/>
    <w:rsid w:val="00ED0B90"/>
  </w:style>
  <w:style w:type="paragraph" w:customStyle="1" w:styleId="ab">
    <w:name w:val="Нормальний текст"/>
    <w:basedOn w:val="a"/>
    <w:uiPriority w:val="99"/>
    <w:qFormat/>
    <w:rsid w:val="00ED0B90"/>
    <w:pPr>
      <w:spacing w:before="120"/>
      <w:ind w:firstLine="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864848">
      <w:bodyDiv w:val="1"/>
      <w:marLeft w:val="0"/>
      <w:marRight w:val="0"/>
      <w:marTop w:val="0"/>
      <w:marBottom w:val="0"/>
      <w:divBdr>
        <w:top w:val="none" w:sz="0" w:space="0" w:color="auto"/>
        <w:left w:val="none" w:sz="0" w:space="0" w:color="auto"/>
        <w:bottom w:val="none" w:sz="0" w:space="0" w:color="auto"/>
        <w:right w:val="none" w:sz="0" w:space="0" w:color="auto"/>
      </w:divBdr>
    </w:div>
    <w:div w:id="16456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hoblik.org.ua/rizni/pku/stat-169.html"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zakon.rada.gov.ua/go/3050-I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Динаміка зростання власних доходів загального фонду за 2023 рік очікувані за  2024 рік та прогнозних надходжень у 2025</a:t>
            </a:r>
          </a:p>
          <a:p>
            <a:pPr>
              <a:defRPr>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 році (тис. гривень)</a:t>
            </a:r>
          </a:p>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  </a:t>
            </a:r>
          </a:p>
        </c:rich>
      </c:tx>
      <c:layout>
        <c:manualLayout>
          <c:xMode val="edge"/>
          <c:yMode val="edge"/>
          <c:x val="0.1332933060265689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192804024496938"/>
          <c:y val="0.14332937848218777"/>
          <c:w val="0.82240529308836396"/>
          <c:h val="0.78888046425748282"/>
        </c:manualLayout>
      </c:layout>
      <c:bar3DChart>
        <c:barDir val="bar"/>
        <c:grouping val="stacked"/>
        <c:varyColors val="0"/>
        <c:ser>
          <c:idx val="0"/>
          <c:order val="0"/>
          <c:spPr>
            <a:solidFill>
              <a:schemeClr val="accent1"/>
            </a:solidFill>
            <a:ln>
              <a:noFill/>
            </a:ln>
            <a:effectLst/>
            <a:sp3d/>
          </c:spPr>
          <c:invertIfNegative val="0"/>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2023 рік</c:v>
                </c:pt>
                <c:pt idx="1">
                  <c:v>2024 рік очікувані</c:v>
                </c:pt>
                <c:pt idx="2">
                  <c:v>2025 рік прогноз</c:v>
                </c:pt>
              </c:strCache>
            </c:strRef>
          </c:cat>
          <c:val>
            <c:numRef>
              <c:f>Лист1!$B$2:$B$4</c:f>
              <c:numCache>
                <c:formatCode>General</c:formatCode>
                <c:ptCount val="3"/>
                <c:pt idx="0">
                  <c:v>214.4</c:v>
                </c:pt>
                <c:pt idx="1">
                  <c:v>228.1</c:v>
                </c:pt>
                <c:pt idx="2" formatCode="0.0">
                  <c:v>237.9</c:v>
                </c:pt>
              </c:numCache>
            </c:numRef>
          </c:val>
          <c:extLst>
            <c:ext xmlns:c16="http://schemas.microsoft.com/office/drawing/2014/chart" uri="{C3380CC4-5D6E-409C-BE32-E72D297353CC}">
              <c16:uniqueId val="{00000000-B4AB-4686-A20E-28B71BA3430D}"/>
            </c:ext>
          </c:extLst>
        </c:ser>
        <c:dLbls>
          <c:showLegendKey val="0"/>
          <c:showVal val="0"/>
          <c:showCatName val="0"/>
          <c:showSerName val="0"/>
          <c:showPercent val="0"/>
          <c:showBubbleSize val="0"/>
        </c:dLbls>
        <c:gapWidth val="150"/>
        <c:shape val="box"/>
        <c:axId val="183644160"/>
        <c:axId val="183645696"/>
        <c:axId val="0"/>
      </c:bar3DChart>
      <c:catAx>
        <c:axId val="1836441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645696"/>
        <c:crosses val="autoZero"/>
        <c:auto val="1"/>
        <c:lblAlgn val="ctr"/>
        <c:lblOffset val="100"/>
        <c:noMultiLvlLbl val="0"/>
      </c:catAx>
      <c:valAx>
        <c:axId val="183645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64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Структура власних доходів бюджету Тростянецької МТГ у 2025 році</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5083333333333335"/>
          <c:w val="0.96944444444444444"/>
          <c:h val="0.52346894138232725"/>
        </c:manualLayout>
      </c:layout>
      <c:pie3DChart>
        <c:varyColors val="1"/>
        <c:ser>
          <c:idx val="0"/>
          <c:order val="0"/>
          <c:dPt>
            <c:idx val="0"/>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3E-4677-A53F-1758F4E0E0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3E-4677-A53F-1758F4E0E0DE}"/>
              </c:ext>
            </c:extLst>
          </c:dPt>
          <c:dPt>
            <c:idx val="2"/>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3E-4677-A53F-1758F4E0E0DE}"/>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4F3E-4677-A53F-1758F4E0E0DE}"/>
              </c:ext>
            </c:extLst>
          </c:dPt>
          <c:dPt>
            <c:idx val="4"/>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9-4F3E-4677-A53F-1758F4E0E0DE}"/>
              </c:ext>
            </c:extLst>
          </c:dPt>
          <c:dPt>
            <c:idx val="5"/>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B-4F3E-4677-A53F-1758F4E0E0DE}"/>
              </c:ext>
            </c:extLst>
          </c:dPt>
          <c:dLbls>
            <c:dLbl>
              <c:idx val="0"/>
              <c:layout>
                <c:manualLayout>
                  <c:x val="4.3878163622741863E-2"/>
                  <c:y val="-0.11297961847229755"/>
                </c:manualLayout>
              </c:layout>
              <c:tx>
                <c:rich>
                  <a:bodyPr/>
                  <a:lstStyle/>
                  <a:p>
                    <a:fld id="{FAE13533-886B-48B5-8BC6-8A674386FEB3}" type="VALUE">
                      <a:rPr lang="ru-RU"/>
                      <a:pPr/>
                      <a:t>[ЗНАЧЕННЯ]</a:t>
                    </a:fld>
                    <a:r>
                      <a:rPr lang="ru-RU"/>
                      <a:t> тис.грн.</a:t>
                    </a:r>
                    <a:r>
                      <a:rPr lang="ru-RU" baseline="0"/>
                      <a:t>; </a:t>
                    </a:r>
                    <a:fld id="{E46B4E79-726C-4174-AE1F-63A5D693379A}" type="PERCENTAGE">
                      <a:rPr lang="ru-RU" baseline="0"/>
                      <a:pPr/>
                      <a:t>[ВІДСОТОК]</a:t>
                    </a:fld>
                    <a:endParaRPr lang="ru-RU"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F3E-4677-A53F-1758F4E0E0DE}"/>
                </c:ext>
              </c:extLst>
            </c:dLbl>
            <c:dLbl>
              <c:idx val="1"/>
              <c:tx>
                <c:rich>
                  <a:bodyPr/>
                  <a:lstStyle/>
                  <a:p>
                    <a:fld id="{8D5D9A85-DA38-437B-A0E5-19F028660D68}" type="VALUE">
                      <a:rPr lang="ru-RU"/>
                      <a:pPr/>
                      <a:t>[ЗНАЧЕННЯ]</a:t>
                    </a:fld>
                    <a:r>
                      <a:rPr lang="ru-RU"/>
                      <a:t> тис.грн.</a:t>
                    </a:r>
                    <a:r>
                      <a:rPr lang="ru-RU" baseline="0"/>
                      <a:t>; </a:t>
                    </a:r>
                    <a:fld id="{0DAB032F-3C4B-494C-9805-96FAC7794C7A}" type="PERCENTAGE">
                      <a:rPr lang="ru-RU" baseline="0"/>
                      <a:pPr/>
                      <a:t>[ВІДСОТОК]</a:t>
                    </a:fld>
                    <a:endParaRPr lang="ru-RU"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3E-4677-A53F-1758F4E0E0DE}"/>
                </c:ext>
              </c:extLst>
            </c:dLbl>
            <c:dLbl>
              <c:idx val="2"/>
              <c:tx>
                <c:rich>
                  <a:bodyPr/>
                  <a:lstStyle/>
                  <a:p>
                    <a:fld id="{37B8CE87-35DB-4DB0-8634-3284975F5CEA}" type="VALUE">
                      <a:rPr lang="ru-RU"/>
                      <a:pPr/>
                      <a:t>[ЗНАЧЕННЯ]</a:t>
                    </a:fld>
                    <a:r>
                      <a:rPr lang="ru-RU" baseline="0"/>
                      <a:t>тис.грн.; </a:t>
                    </a:r>
                    <a:fld id="{CE2096E1-DE31-47A0-83B5-0F53FF57B984}" type="PERCENTAGE">
                      <a:rPr lang="ru-RU" baseline="0"/>
                      <a:pPr/>
                      <a:t>[ВІДСОТОК]</a:t>
                    </a:fld>
                    <a:endParaRPr lang="ru-RU"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F3E-4677-A53F-1758F4E0E0DE}"/>
                </c:ext>
              </c:extLst>
            </c:dLbl>
            <c:dLbl>
              <c:idx val="3"/>
              <c:layout>
                <c:manualLayout>
                  <c:x val="-1.5354479555840019E-2"/>
                  <c:y val="-9.7188016014586029E-2"/>
                </c:manualLayout>
              </c:layout>
              <c:tx>
                <c:rich>
                  <a:bodyPr/>
                  <a:lstStyle/>
                  <a:p>
                    <a:fld id="{D971B1BB-F846-4941-B62B-DC00FC613BB7}" type="VALUE">
                      <a:rPr lang="ru-RU"/>
                      <a:pPr/>
                      <a:t>[ЗНАЧЕННЯ]</a:t>
                    </a:fld>
                    <a:r>
                      <a:rPr lang="ru-RU"/>
                      <a:t> тис.грн.</a:t>
                    </a:r>
                    <a:r>
                      <a:rPr lang="ru-RU" baseline="0"/>
                      <a:t>; </a:t>
                    </a:r>
                    <a:fld id="{A567DC0D-1763-4DC9-8690-70B5C11BC14D}" type="PERCENTAGE">
                      <a:rPr lang="ru-RU" baseline="0"/>
                      <a:pPr/>
                      <a:t>[ВІДСОТОК]</a:t>
                    </a:fld>
                    <a:endParaRPr lang="ru-RU"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F3E-4677-A53F-1758F4E0E0DE}"/>
                </c:ext>
              </c:extLst>
            </c:dLbl>
            <c:dLbl>
              <c:idx val="4"/>
              <c:layout>
                <c:manualLayout>
                  <c:x val="2.3452460691940919E-2"/>
                  <c:y val="-4.1165249905420018E-2"/>
                </c:manualLayout>
              </c:layout>
              <c:tx>
                <c:rich>
                  <a:bodyPr/>
                  <a:lstStyle/>
                  <a:p>
                    <a:fld id="{AF2575CB-A141-414B-A7C1-BA5741EFCC5F}" type="VALUE">
                      <a:rPr lang="ru-RU"/>
                      <a:pPr/>
                      <a:t>[ЗНАЧЕННЯ]</a:t>
                    </a:fld>
                    <a:r>
                      <a:rPr lang="ru-RU"/>
                      <a:t> тис.грн.</a:t>
                    </a:r>
                    <a:r>
                      <a:rPr lang="ru-RU" baseline="0"/>
                      <a:t>; </a:t>
                    </a:r>
                    <a:fld id="{557F285B-C03D-459A-B437-C2ECB07A0D6E}" type="PERCENTAGE">
                      <a:rPr lang="ru-RU" baseline="0"/>
                      <a:pPr/>
                      <a:t>[ВІДСОТОК]</a:t>
                    </a:fld>
                    <a:endParaRPr lang="ru-RU"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F3E-4677-A53F-1758F4E0E0DE}"/>
                </c:ext>
              </c:extLst>
            </c:dLbl>
            <c:dLbl>
              <c:idx val="5"/>
              <c:tx>
                <c:rich>
                  <a:bodyPr/>
                  <a:lstStyle/>
                  <a:p>
                    <a:fld id="{7AB757A1-669D-4A27-B13D-FF64542830FB}" type="VALUE">
                      <a:rPr lang="ru-RU"/>
                      <a:pPr/>
                      <a:t>[ЗНАЧЕННЯ]</a:t>
                    </a:fld>
                    <a:r>
                      <a:rPr lang="ru-RU"/>
                      <a:t>тис.грн.</a:t>
                    </a:r>
                    <a:r>
                      <a:rPr lang="ru-RU" baseline="0"/>
                      <a:t>; </a:t>
                    </a:r>
                    <a:fld id="{7153DDA0-60C9-4644-9C7C-C453BE6D0E85}" type="PERCENTAGE">
                      <a:rPr lang="ru-RU" baseline="0"/>
                      <a:pPr/>
                      <a:t>[ВІДСОТОК]</a:t>
                    </a:fld>
                    <a:endParaRPr lang="ru-RU"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F3E-4677-A53F-1758F4E0E0DE}"/>
                </c:ext>
              </c:extLst>
            </c:dLbl>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Лист1!$A$7:$A$12</c:f>
              <c:strCache>
                <c:ptCount val="6"/>
                <c:pt idx="0">
                  <c:v>Податок та збір на доходи фізичних осіб</c:v>
                </c:pt>
                <c:pt idx="1">
                  <c:v>Податок на прибуток</c:v>
                </c:pt>
                <c:pt idx="2">
                  <c:v>Рентна плата та плата за використання інших природних ресурсів</c:v>
                </c:pt>
                <c:pt idx="3">
                  <c:v>Внутрішні податки на товари та послуги</c:v>
                </c:pt>
                <c:pt idx="4">
                  <c:v>Місцеві податки та збори</c:v>
                </c:pt>
                <c:pt idx="5">
                  <c:v>Інші надходження</c:v>
                </c:pt>
              </c:strCache>
            </c:strRef>
          </c:cat>
          <c:val>
            <c:numRef>
              <c:f>Лист1!$B$7:$B$12</c:f>
              <c:numCache>
                <c:formatCode>#,##0.00</c:formatCode>
                <c:ptCount val="6"/>
                <c:pt idx="0">
                  <c:v>142479.1</c:v>
                </c:pt>
                <c:pt idx="1">
                  <c:v>660</c:v>
                </c:pt>
                <c:pt idx="2">
                  <c:v>4820</c:v>
                </c:pt>
                <c:pt idx="3">
                  <c:v>16600</c:v>
                </c:pt>
                <c:pt idx="4">
                  <c:v>70040.899999999994</c:v>
                </c:pt>
                <c:pt idx="5">
                  <c:v>3285.5</c:v>
                </c:pt>
              </c:numCache>
            </c:numRef>
          </c:val>
          <c:extLst>
            <c:ext xmlns:c16="http://schemas.microsoft.com/office/drawing/2014/chart" uri="{C3380CC4-5D6E-409C-BE32-E72D297353CC}">
              <c16:uniqueId val="{0000000C-4F3E-4677-A53F-1758F4E0E0D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409428972607158E-2"/>
          <c:y val="0.78465484120969331"/>
          <c:w val="0.94910914963606863"/>
          <c:h val="0.18756741502187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2837</Words>
  <Characters>16171</Characters>
  <Application>Microsoft Office Word</Application>
  <DocSecurity>0</DocSecurity>
  <Lines>134</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user-tmr</dc:creator>
  <cp:keywords/>
  <dc:description/>
  <cp:lastModifiedBy>user-tmr</cp:lastModifiedBy>
  <cp:revision>3</cp:revision>
  <cp:lastPrinted>2024-11-27T13:56:00Z</cp:lastPrinted>
  <dcterms:created xsi:type="dcterms:W3CDTF">2024-12-02T09:40:00Z</dcterms:created>
  <dcterms:modified xsi:type="dcterms:W3CDTF">2024-12-02T09:47:00Z</dcterms:modified>
</cp:coreProperties>
</file>