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34" w:rsidRPr="004B7634" w:rsidRDefault="004B7634" w:rsidP="004B7634">
      <w:pPr>
        <w:spacing w:after="0"/>
        <w:ind w:firstLine="240"/>
        <w:rPr>
          <w:rFonts w:ascii="Times New Roman" w:hAnsi="Times New Roman" w:cs="Times New Roman"/>
        </w:rPr>
      </w:pPr>
    </w:p>
    <w:p w:rsidR="004B7634" w:rsidRPr="00B54F89" w:rsidRDefault="004B7634" w:rsidP="004B7634">
      <w:pPr>
        <w:spacing w:after="0"/>
        <w:ind w:firstLine="24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212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ЗАТВЕРДЖЕНО</w:t>
      </w:r>
      <w:r w:rsidRPr="00B54F89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Наказ </w:t>
      </w:r>
      <w:proofErr w:type="spellStart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Міністерства</w:t>
      </w:r>
      <w:proofErr w:type="spellEnd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соц</w:t>
      </w:r>
      <w:proofErr w:type="gramEnd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іальної</w:t>
      </w:r>
      <w:proofErr w:type="spellEnd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політики</w:t>
      </w:r>
      <w:proofErr w:type="spellEnd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України</w:t>
      </w:r>
      <w:proofErr w:type="spellEnd"/>
      <w:r w:rsidRPr="00B54F89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05 </w:t>
      </w:r>
      <w:proofErr w:type="spellStart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березня</w:t>
      </w:r>
      <w:proofErr w:type="spellEnd"/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2024 року </w:t>
      </w:r>
      <w:r w:rsidRPr="00B54F89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B54F8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80-Н</w:t>
      </w:r>
    </w:p>
    <w:tbl>
      <w:tblPr>
        <w:tblW w:w="11301" w:type="dxa"/>
        <w:tblCellSpacing w:w="0" w:type="auto"/>
        <w:tblLook w:val="04A0" w:firstRow="1" w:lastRow="0" w:firstColumn="1" w:lastColumn="0" w:noHBand="0" w:noVBand="1"/>
      </w:tblPr>
      <w:tblGrid>
        <w:gridCol w:w="5778"/>
        <w:gridCol w:w="5523"/>
      </w:tblGrid>
      <w:tr w:rsidR="004B7634" w:rsidRPr="00962B5D" w:rsidTr="00B54F89">
        <w:trPr>
          <w:trHeight w:val="30"/>
          <w:tblCellSpacing w:w="0" w:type="auto"/>
        </w:trPr>
        <w:tc>
          <w:tcPr>
            <w:tcW w:w="5778" w:type="dxa"/>
            <w:vAlign w:val="center"/>
          </w:tcPr>
          <w:p w:rsidR="004B7634" w:rsidRPr="00B54F89" w:rsidRDefault="004B7634" w:rsidP="00B54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" w:name="213"/>
            <w:bookmarkEnd w:id="0"/>
          </w:p>
        </w:tc>
        <w:tc>
          <w:tcPr>
            <w:tcW w:w="5523" w:type="dxa"/>
            <w:vAlign w:val="center"/>
          </w:tcPr>
          <w:p w:rsidR="00EB1202" w:rsidRPr="00B54F89" w:rsidRDefault="00962B5D" w:rsidP="00B54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" w:name="214"/>
            <w:bookmarkEnd w:id="1"/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Сумське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обласне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proofErr w:type="gram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іального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4B7634"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територіального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соціального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="004B7634"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4B7634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</w:t>
            </w:r>
          </w:p>
          <w:p w:rsidR="00EB1202" w:rsidRPr="00B54F89" w:rsidRDefault="004B7634" w:rsidP="00B54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gram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ізвище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власне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ім'я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батькові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заявника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 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інший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документ,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посвідчує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особу):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серія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___________ </w:t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_________________,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виданий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            (ким, дата)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облікової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картки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платника</w:t>
            </w:r>
            <w:proofErr w:type="spellEnd"/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податків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*: 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власне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ім'я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батькові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законного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представника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уповноваженої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зареєстроване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задеклароване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місце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проживання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перебування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): 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(номер телефону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заявника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</w:t>
            </w:r>
          </w:p>
          <w:p w:rsidR="004B7634" w:rsidRPr="00B54F89" w:rsidRDefault="004B7634" w:rsidP="00B54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додатковий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номер те</w:t>
            </w:r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лефону </w:t>
            </w:r>
            <w:proofErr w:type="spellStart"/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заявника</w:t>
            </w:r>
            <w:proofErr w:type="spellEnd"/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уповноваженої</w:t>
            </w:r>
            <w:proofErr w:type="spellEnd"/>
            <w:r w:rsidR="00EB1202"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особи)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електронна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адреса ________________________________</w:t>
            </w:r>
          </w:p>
        </w:tc>
        <w:bookmarkEnd w:id="2"/>
      </w:tr>
    </w:tbl>
    <w:p w:rsidR="004B7634" w:rsidRPr="00B54F89" w:rsidRDefault="004B7634" w:rsidP="004B7634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4B7634" w:rsidRPr="00060A61" w:rsidRDefault="004B7634" w:rsidP="004B7634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216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ЗАЯВКА**</w:t>
      </w:r>
      <w:r w:rsidRPr="00060A6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ремонту </w:t>
      </w:r>
      <w:proofErr w:type="spellStart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засобу</w:t>
      </w:r>
      <w:proofErr w:type="spellEnd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60A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реабілітації</w:t>
      </w:r>
      <w:proofErr w:type="spellEnd"/>
    </w:p>
    <w:tbl>
      <w:tblPr>
        <w:tblW w:w="11165" w:type="dxa"/>
        <w:tblCellSpacing w:w="0" w:type="auto"/>
        <w:tblLook w:val="04A0" w:firstRow="1" w:lastRow="0" w:firstColumn="1" w:lastColumn="0" w:noHBand="0" w:noVBand="1"/>
      </w:tblPr>
      <w:tblGrid>
        <w:gridCol w:w="11165"/>
      </w:tblGrid>
      <w:tr w:rsidR="004B7634" w:rsidRPr="00962B5D" w:rsidTr="00060A61">
        <w:trPr>
          <w:trHeight w:val="30"/>
          <w:tblCellSpacing w:w="0" w:type="auto"/>
        </w:trPr>
        <w:tc>
          <w:tcPr>
            <w:tcW w:w="11165" w:type="dxa"/>
            <w:vAlign w:val="center"/>
          </w:tcPr>
          <w:p w:rsidR="00060A61" w:rsidRDefault="00060A61" w:rsidP="004B76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4" w:name="217"/>
            <w:bookmarkEnd w:id="3"/>
          </w:p>
          <w:p w:rsidR="00060A61" w:rsidRDefault="004B7634" w:rsidP="00060A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Прошу провести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гарантій</w:t>
            </w:r>
            <w:r w:rsid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  <w:proofErr w:type="spellEnd"/>
            <w:r w:rsid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proofErr w:type="gramStart"/>
            <w:r w:rsid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іслягарантійний</w:t>
            </w:r>
            <w:proofErr w:type="spellEnd"/>
            <w:r w:rsid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  __________________________________________</w:t>
            </w:r>
          </w:p>
          <w:p w:rsidR="00060A61" w:rsidRPr="00962B5D" w:rsidRDefault="00EB1202" w:rsidP="00060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2B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962B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962B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B7634" w:rsidRPr="00962B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виробу</w:t>
            </w:r>
            <w:proofErr w:type="spellEnd"/>
            <w:r w:rsidR="004B7634" w:rsidRPr="00962B5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962B5D" w:rsidRDefault="00962B5D" w:rsidP="00060A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  <w:p w:rsidR="004B7634" w:rsidRPr="00060A61" w:rsidRDefault="00060A61" w:rsidP="00060A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4B7634"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54F89"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4B7634"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B7634" w:rsidRPr="00060A6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218"/>
            <w:bookmarkEnd w:id="4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Мене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ознайомлено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B7634" w:rsidRPr="00060A6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219"/>
            <w:bookmarkEnd w:id="5"/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сумарний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розмі</w:t>
            </w:r>
            <w:proofErr w:type="gram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видатків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ремонт і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технічне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весь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перевищувати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70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відсотків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граничної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ціни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встановленої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Мінсоцполітики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дату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заявки про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трикратного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збільшення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граничної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ціни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військовослужбовців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При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цьому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видатків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ремонт </w:t>
            </w:r>
            <w:proofErr w:type="spellStart"/>
            <w:proofErr w:type="gram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  <w:proofErr w:type="gram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ісел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електроскутерів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акумуляторів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включається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B7634" w:rsidRPr="00060A6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7" w:name="220"/>
            <w:bookmarkEnd w:id="6"/>
            <w:proofErr w:type="spellStart"/>
            <w:proofErr w:type="gram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іслягарантійний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крісел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колісних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електроскутерів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частині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заміни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акумуляторів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суб'єктом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один раз на два роки (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залежно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моделі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пересування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більше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однієї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двох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одиниць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B7634" w:rsidRPr="00060A6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221"/>
            <w:bookmarkEnd w:id="7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звернутися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заявкою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іслягарантійного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державного бюджету в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дотримання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мною умов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зазначених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договорі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B7634" w:rsidRPr="00060A6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222"/>
            <w:bookmarkEnd w:id="8"/>
            <w:proofErr w:type="spellStart"/>
            <w:proofErr w:type="gram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іслягарантійному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підлягають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гарантійний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строк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зберігання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закінчився</w:t>
            </w:r>
            <w:proofErr w:type="spellEnd"/>
            <w:r w:rsidRPr="00060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" w:name="223"/>
            <w:bookmarkEnd w:id="9"/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0A61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отримані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за кордоном,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ідлягають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суб'єктами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в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Україні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державного бюджету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незалежно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від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строку, на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їх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видано;</w:t>
            </w:r>
            <w:bookmarkStart w:id="11" w:name="224"/>
            <w:bookmarkEnd w:id="10"/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ремонт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гарантійний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закінчився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проводиться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забезпечив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мене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цим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виробом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такого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кр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випадків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заміни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приймальної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гільзи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куксоприймача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) 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зміни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моїх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антропометричних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та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пошкодження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внаслідок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непереборної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сили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пожежа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повінь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землетрус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бомбардування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авіаудари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та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інші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збройні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напади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під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час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військової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агрес</w:t>
            </w:r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осійської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Федерації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України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тощо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), у таких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випадках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 проводиться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державного бюджету);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2" w:name="225"/>
            <w:bookmarkEnd w:id="11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неможливості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проведення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забезпечив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мене таким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зв'язку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припиненням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діяльності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період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надзвичайного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або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воєнного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стану,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оголошеного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в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Україні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або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окремих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її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місцевостях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ремонт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гарантійний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закінчився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, проводиться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іншим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державного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бюджету;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3" w:name="226"/>
            <w:bookmarkEnd w:id="12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ремонт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державного бюджету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нижніх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кінцівок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(для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br/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гомілки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стопи, для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стегна - стопи та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механізму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колінного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),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забезпечено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осіб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установлено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ступінь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функціональних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можливостей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проводиться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раніше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ніж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через один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дати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отримання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в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експлуатацію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осіб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установлено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IV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ступінь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функціональних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можливостей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- через два роки,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верхніх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кінцівок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через один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.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Таке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обмеження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поширюється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 ремонт,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що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передбачає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заміну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куксоприймача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або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інших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елементів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кріплення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протеза,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виготовлених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індивідуально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4" w:name="227"/>
            <w:bookmarkEnd w:id="13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заміни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комплектувальних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виробів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ід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час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післягарантійного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 протезного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виробу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виробу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продовжується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нижніх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кінцівок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гомілки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стопи,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стегна - стопи та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механізму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колінного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),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забезпечено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осіб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установлено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ступінь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функціональних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можливостей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на один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рік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дати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видачі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протезного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виробу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ісля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осіб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установлено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III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IV</w:t>
            </w:r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ступінь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функціональних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можливостей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- на два роки, для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протезів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верхніх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кінцівок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- на один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рік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5" w:name="228"/>
            <w:bookmarkEnd w:id="14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строк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продовжується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 один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проведення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його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післягарантійного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шість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і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менше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місяців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закінчення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його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винятком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ремонту,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розмір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видатків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перевищує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20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відсотків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граничної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ціни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встановленої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Мінсоцполітики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6" w:name="229"/>
            <w:bookmarkEnd w:id="15"/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техн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ічне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обслуговування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або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проводиться у строк не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більше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ніж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один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місяць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дати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надходження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щомісячних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бюджетних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асигнувань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у межах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створених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попередніх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замовлень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7" w:name="230"/>
            <w:bookmarkEnd w:id="16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отримання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мною нового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іслягарантійний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ремонт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раніше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виданого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рахунок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коштів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державного бюджету не проводиться;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18" w:name="231"/>
            <w:bookmarkEnd w:id="17"/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ісля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закінчення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гарантійного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строку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експлуатації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крісла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колісного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підвищеної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надійності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та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функціональності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зобов'язаний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(а)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надавати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його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суб'єкту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господарювання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технічного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обслуговування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кожні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два роки.</w:t>
            </w:r>
          </w:p>
          <w:p w:rsidR="004B7634" w:rsidRPr="00A95FD1" w:rsidRDefault="004B7634" w:rsidP="00B5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bookmarkStart w:id="19" w:name="232"/>
            <w:bookmarkEnd w:id="18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Я даю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згоду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використання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моїх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(та/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або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особи,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інтереси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якої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я представляю)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персональних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які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буде внесено </w:t>
            </w:r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до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централ</w:t>
            </w:r>
            <w:proofErr w:type="gram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ізованого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банку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даних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проблем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інвалідності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з метою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забезпечення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засобами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реабілітації</w:t>
            </w:r>
            <w:proofErr w:type="spellEnd"/>
            <w:r w:rsidRPr="00A95FD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.</w:t>
            </w:r>
          </w:p>
          <w:p w:rsidR="00060A61" w:rsidRDefault="00060A61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5D" w:rsidRPr="00962B5D" w:rsidRDefault="00962B5D" w:rsidP="00B54F8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GoBack"/>
            <w:bookmarkEnd w:id="20"/>
          </w:p>
        </w:tc>
        <w:bookmarkEnd w:id="19"/>
      </w:tr>
    </w:tbl>
    <w:tbl>
      <w:tblPr>
        <w:tblpPr w:leftFromText="180" w:rightFromText="180" w:vertAnchor="text" w:horzAnchor="margin" w:tblpY="88"/>
        <w:tblW w:w="10908" w:type="dxa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908"/>
      </w:tblGrid>
      <w:tr w:rsidR="00060A61" w:rsidRPr="00962B5D" w:rsidTr="00060A61">
        <w:trPr>
          <w:trHeight w:val="1150"/>
          <w:tblCellSpacing w:w="0" w:type="auto"/>
        </w:trPr>
        <w:tc>
          <w:tcPr>
            <w:tcW w:w="109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60A61" w:rsidRPr="00B54F89" w:rsidRDefault="00060A61" w:rsidP="00060A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1" w:name="233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Заявку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прийнято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 ____________ 20__ р. та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зареєстровано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________</w:t>
            </w:r>
          </w:p>
          <w:p w:rsidR="00060A61" w:rsidRPr="00B54F89" w:rsidRDefault="00060A61" w:rsidP="00060A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22" w:name="234"/>
            <w:bookmarkEnd w:id="21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___________ /_________________________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Ознайомивс</w:t>
            </w:r>
            <w:proofErr w:type="gram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лась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 _______________________________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підпис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Власне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ім'я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ПРІЗВИЩЕ особи,                                               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підпис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заявника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законного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представника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</w:t>
            </w:r>
          </w:p>
          <w:p w:rsidR="00060A61" w:rsidRPr="00B54F89" w:rsidRDefault="00060A61" w:rsidP="00060A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прийняла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документи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                                                                                 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уповноваженої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особи)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54F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End"/>
          </w:p>
        </w:tc>
        <w:bookmarkEnd w:id="22"/>
      </w:tr>
      <w:tr w:rsidR="00060A61" w:rsidRPr="00B54F89" w:rsidTr="00060A61">
        <w:trPr>
          <w:trHeight w:val="45"/>
          <w:tblCellSpacing w:w="0" w:type="auto"/>
        </w:trPr>
        <w:tc>
          <w:tcPr>
            <w:tcW w:w="109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60A61" w:rsidRPr="00B54F89" w:rsidRDefault="00060A61" w:rsidP="00060A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235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54F89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10B296" wp14:editId="239FE4B5">
                  <wp:extent cx="228600" cy="190500"/>
                  <wp:effectExtent l="0" t="0" r="0" b="0"/>
                  <wp:docPr id="1567788387" name="Рисунок 1567788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---------------------------------------------- (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лінія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відрізу</w:t>
            </w:r>
            <w:proofErr w:type="spellEnd"/>
            <w:r w:rsidRPr="00B5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-------------------------------------------------</w:t>
            </w:r>
          </w:p>
        </w:tc>
        <w:bookmarkEnd w:id="23"/>
      </w:tr>
      <w:tr w:rsidR="00060A61" w:rsidRPr="00B54F89" w:rsidTr="00060A61">
        <w:trPr>
          <w:trHeight w:val="45"/>
          <w:tblCellSpacing w:w="0" w:type="auto"/>
        </w:trPr>
        <w:tc>
          <w:tcPr>
            <w:tcW w:w="109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60A61" w:rsidRPr="00B54F89" w:rsidRDefault="00060A61" w:rsidP="00060A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4" w:name="238"/>
          </w:p>
        </w:tc>
        <w:bookmarkEnd w:id="24"/>
      </w:tr>
    </w:tbl>
    <w:p w:rsidR="005C4D51" w:rsidRPr="00B54F89" w:rsidRDefault="005C4D51" w:rsidP="00984B07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5C4D51" w:rsidRPr="00B54F89" w:rsidSect="00060A61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33"/>
    <w:rsid w:val="00060A61"/>
    <w:rsid w:val="004B7634"/>
    <w:rsid w:val="005C4D51"/>
    <w:rsid w:val="00962B5D"/>
    <w:rsid w:val="00984B07"/>
    <w:rsid w:val="00A95FD1"/>
    <w:rsid w:val="00B54F89"/>
    <w:rsid w:val="00DC3A33"/>
    <w:rsid w:val="00E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34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B76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63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B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3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34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B76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63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B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72E1-CE6A-4D24-A1CF-20D9A373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Пасєчник</dc:creator>
  <cp:keywords/>
  <dc:description/>
  <cp:lastModifiedBy>Віта Холобок</cp:lastModifiedBy>
  <cp:revision>5</cp:revision>
  <cp:lastPrinted>2024-08-01T10:54:00Z</cp:lastPrinted>
  <dcterms:created xsi:type="dcterms:W3CDTF">2024-05-14T07:27:00Z</dcterms:created>
  <dcterms:modified xsi:type="dcterms:W3CDTF">2024-08-01T10:54:00Z</dcterms:modified>
</cp:coreProperties>
</file>